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31412" w14:textId="77777777" w:rsidR="001417A3" w:rsidRDefault="001417A3" w:rsidP="001417A3">
      <w:pPr>
        <w:shd w:val="clear" w:color="auto" w:fill="FFFFFF"/>
        <w:tabs>
          <w:tab w:val="center" w:pos="4876"/>
          <w:tab w:val="left" w:pos="8124"/>
        </w:tabs>
        <w:spacing w:before="30"/>
        <w:outlineLvl w:val="0"/>
        <w:rPr>
          <w:rFonts w:eastAsia="Times New Roman"/>
          <w:b/>
          <w:bCs/>
          <w:kern w:val="36"/>
          <w:sz w:val="28"/>
          <w:szCs w:val="28"/>
          <w:lang w:val="en"/>
        </w:rPr>
      </w:pPr>
      <w:r>
        <w:rPr>
          <w:rFonts w:eastAsia="Times New Roman"/>
          <w:b/>
          <w:bCs/>
          <w:kern w:val="36"/>
          <w:sz w:val="28"/>
          <w:szCs w:val="28"/>
          <w:lang w:val="en"/>
        </w:rPr>
        <w:t xml:space="preserve">                                          </w:t>
      </w:r>
      <w:r w:rsidRPr="00025A0B">
        <w:rPr>
          <w:rFonts w:eastAsia="Times New Roman"/>
          <w:b/>
          <w:bCs/>
          <w:kern w:val="36"/>
          <w:sz w:val="28"/>
          <w:szCs w:val="28"/>
          <w:lang w:val="en"/>
        </w:rPr>
        <w:t>Nettleham Parish Council</w:t>
      </w:r>
      <w:r>
        <w:rPr>
          <w:rFonts w:eastAsia="Times New Roman"/>
          <w:b/>
          <w:bCs/>
          <w:kern w:val="36"/>
          <w:sz w:val="28"/>
          <w:szCs w:val="28"/>
          <w:lang w:val="en"/>
        </w:rPr>
        <w:tab/>
      </w:r>
    </w:p>
    <w:p w14:paraId="677DBBD8" w14:textId="0D0A2CE9" w:rsidR="00E1746D" w:rsidRPr="001417A3" w:rsidRDefault="001417A3" w:rsidP="001417A3">
      <w:pPr>
        <w:shd w:val="clear" w:color="auto" w:fill="FFFFFF"/>
        <w:tabs>
          <w:tab w:val="left" w:pos="720"/>
          <w:tab w:val="left" w:pos="3217"/>
          <w:tab w:val="left" w:pos="7092"/>
          <w:tab w:val="left" w:pos="8124"/>
        </w:tabs>
        <w:spacing w:before="30"/>
        <w:outlineLvl w:val="0"/>
        <w:rPr>
          <w:rFonts w:eastAsia="Times New Roman"/>
          <w:b/>
          <w:bCs/>
          <w:kern w:val="36"/>
          <w:sz w:val="16"/>
          <w:szCs w:val="16"/>
          <w:lang w:val="en"/>
        </w:rPr>
      </w:pPr>
      <w:r>
        <w:rPr>
          <w:rFonts w:eastAsia="Times New Roman"/>
          <w:b/>
          <w:bCs/>
          <w:noProof/>
          <w:kern w:val="36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57A430" wp14:editId="0542B6CF">
                <wp:simplePos x="0" y="0"/>
                <wp:positionH relativeFrom="column">
                  <wp:posOffset>5149215</wp:posOffset>
                </wp:positionH>
                <wp:positionV relativeFrom="paragraph">
                  <wp:posOffset>-638175</wp:posOffset>
                </wp:positionV>
                <wp:extent cx="884555" cy="793115"/>
                <wp:effectExtent l="3810" t="3175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8C03D" w14:textId="77777777" w:rsidR="001417A3" w:rsidRDefault="001417A3" w:rsidP="001417A3">
                            <w:r w:rsidRPr="008367E0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07B3B6D" wp14:editId="52A3A58E">
                                  <wp:extent cx="704850" cy="7048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7A4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45pt;margin-top:-50.25pt;width:69.65pt;height:62.4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" stroked="f">
                <v:textbox style="mso-fit-shape-to-text:t">
                  <w:txbxContent>
                    <w:p w14:paraId="71E8C03D" w14:textId="77777777" w:rsidR="001417A3" w:rsidRDefault="001417A3" w:rsidP="001417A3">
                      <w:r w:rsidRPr="008367E0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07B3B6D" wp14:editId="52A3A58E">
                            <wp:extent cx="704850" cy="7048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/>
          <w:b/>
          <w:bCs/>
          <w:kern w:val="36"/>
          <w:sz w:val="28"/>
          <w:szCs w:val="28"/>
          <w:lang w:val="en"/>
        </w:rPr>
        <w:tab/>
      </w:r>
      <w:r w:rsidR="00E1746D" w:rsidRPr="0064489A">
        <w:rPr>
          <w:b/>
          <w:bCs/>
          <w:sz w:val="24"/>
          <w:szCs w:val="24"/>
        </w:rPr>
        <w:t>Nettleham Parish Council (NPC) Conservation Area Management P</w:t>
      </w:r>
      <w:r w:rsidR="00FF4A8F">
        <w:rPr>
          <w:b/>
          <w:bCs/>
          <w:sz w:val="24"/>
          <w:szCs w:val="24"/>
        </w:rPr>
        <w:t>lan</w:t>
      </w:r>
    </w:p>
    <w:p w14:paraId="52EE917E" w14:textId="5071D8D1" w:rsidR="00E1746D" w:rsidRPr="004516A1" w:rsidRDefault="00E1746D">
      <w:pPr>
        <w:rPr>
          <w:b/>
          <w:bCs/>
          <w:u w:val="single"/>
        </w:rPr>
      </w:pPr>
      <w:r w:rsidRPr="004516A1">
        <w:rPr>
          <w:b/>
          <w:bCs/>
          <w:u w:val="single"/>
        </w:rPr>
        <w:t>Introduction</w:t>
      </w:r>
    </w:p>
    <w:p w14:paraId="2A7D787B" w14:textId="4DB231B8" w:rsidR="00E1746D" w:rsidRDefault="00E1746D">
      <w:r>
        <w:t>Management of Nettleham Conservation Area (</w:t>
      </w:r>
      <w:proofErr w:type="spellStart"/>
      <w:r>
        <w:t>NCA</w:t>
      </w:r>
      <w:proofErr w:type="spellEnd"/>
      <w:r>
        <w:t>) is the responsibility of West Lindsey District Council (WLDC</w:t>
      </w:r>
      <w:r w:rsidR="00D475C1">
        <w:t>)</w:t>
      </w:r>
      <w:r>
        <w:t xml:space="preserve"> who in turn follow the guidance of Historic England who are a public body of the British Government. So why do NPC have to get involved?</w:t>
      </w:r>
    </w:p>
    <w:p w14:paraId="5AD9F7CF" w14:textId="6C757D61" w:rsidR="00E1746D" w:rsidRDefault="00E1746D">
      <w:r>
        <w:t xml:space="preserve">Despite Historic England </w:t>
      </w:r>
      <w:r w:rsidR="00D475C1">
        <w:t xml:space="preserve">(HE) </w:t>
      </w:r>
      <w:r>
        <w:t>recommending conservation area</w:t>
      </w:r>
      <w:r w:rsidR="00D020B3">
        <w:t>,</w:t>
      </w:r>
      <w:r>
        <w:t xml:space="preserve"> appraisals </w:t>
      </w:r>
      <w:r w:rsidR="00D475C1">
        <w:t xml:space="preserve">are carried out </w:t>
      </w:r>
      <w:r>
        <w:t xml:space="preserve">every few </w:t>
      </w:r>
      <w:r w:rsidR="00D475C1">
        <w:t>years</w:t>
      </w:r>
      <w:r w:rsidR="00D020B3">
        <w:t>;</w:t>
      </w:r>
      <w:r w:rsidR="00D475C1">
        <w:t xml:space="preserve"> Nettleham’s current appraisal was carried out in 1985. That is </w:t>
      </w:r>
      <w:r w:rsidR="00FB0D6C">
        <w:t>a long time to wait</w:t>
      </w:r>
      <w:r w:rsidR="00D475C1">
        <w:t xml:space="preserve">, </w:t>
      </w:r>
      <w:r w:rsidR="00FB0D6C">
        <w:t>for what is a fast growing</w:t>
      </w:r>
      <w:r w:rsidR="00D475C1">
        <w:t xml:space="preserve"> ‘dormitory town’ </w:t>
      </w:r>
      <w:r w:rsidR="00FB0D6C">
        <w:t xml:space="preserve">that </w:t>
      </w:r>
      <w:r w:rsidR="00D475C1">
        <w:t xml:space="preserve">has absorbed massive change and seen inevitable impact to the </w:t>
      </w:r>
      <w:proofErr w:type="spellStart"/>
      <w:r w:rsidR="00D475C1">
        <w:t>NCA</w:t>
      </w:r>
      <w:proofErr w:type="spellEnd"/>
      <w:r w:rsidR="00D475C1">
        <w:t xml:space="preserve">. </w:t>
      </w:r>
    </w:p>
    <w:p w14:paraId="3270DF54" w14:textId="6362E0C9" w:rsidR="00D475C1" w:rsidRDefault="00D475C1">
      <w:r>
        <w:t>NPC, whilst it has no absolute powers</w:t>
      </w:r>
      <w:r w:rsidR="006848F2">
        <w:t>,</w:t>
      </w:r>
      <w:r>
        <w:t xml:space="preserve"> has an influential role in attempting to ensure development that impacts the conservation area is</w:t>
      </w:r>
      <w:r w:rsidR="00D020B3">
        <w:t>,</w:t>
      </w:r>
      <w:r>
        <w:t xml:space="preserve"> at worst neutral</w:t>
      </w:r>
      <w:r w:rsidR="00D020B3">
        <w:t>,</w:t>
      </w:r>
      <w:r>
        <w:t xml:space="preserve"> and ideally positive</w:t>
      </w:r>
      <w:r w:rsidR="00D020B3">
        <w:t>,</w:t>
      </w:r>
      <w:r>
        <w:t xml:space="preserve"> </w:t>
      </w:r>
      <w:proofErr w:type="spellStart"/>
      <w:r>
        <w:t>inline</w:t>
      </w:r>
      <w:proofErr w:type="spellEnd"/>
      <w:r>
        <w:t xml:space="preserve"> with the rules laid out by HE</w:t>
      </w:r>
      <w:r w:rsidR="006848F2">
        <w:t>.</w:t>
      </w:r>
    </w:p>
    <w:p w14:paraId="5574DA56" w14:textId="56BA1908" w:rsidR="00190FD9" w:rsidRPr="00190FD9" w:rsidRDefault="00190FD9">
      <w:pPr>
        <w:rPr>
          <w:b/>
          <w:bCs/>
          <w:u w:val="single"/>
        </w:rPr>
      </w:pPr>
      <w:r w:rsidRPr="00190FD9">
        <w:rPr>
          <w:b/>
          <w:bCs/>
          <w:u w:val="single"/>
        </w:rPr>
        <w:t>Vision</w:t>
      </w:r>
    </w:p>
    <w:p w14:paraId="5335826C" w14:textId="77777777" w:rsidR="001831D1" w:rsidRDefault="001831D1">
      <w:r>
        <w:t xml:space="preserve">Historic England state there are many </w:t>
      </w:r>
      <w:proofErr w:type="gramStart"/>
      <w:r>
        <w:t>CA’s</w:t>
      </w:r>
      <w:proofErr w:type="gramEnd"/>
      <w:r>
        <w:t xml:space="preserve"> throughout England under serious threat from decay, neglect and inappropriate development.</w:t>
      </w:r>
    </w:p>
    <w:p w14:paraId="23712F04" w14:textId="77777777" w:rsidR="001831D1" w:rsidRDefault="001831D1">
      <w:r>
        <w:t xml:space="preserve">Whilst </w:t>
      </w:r>
      <w:r w:rsidR="006848F2">
        <w:t xml:space="preserve">NPC has no wish to preserve the village </w:t>
      </w:r>
      <w:r w:rsidR="00B9703B">
        <w:t>in</w:t>
      </w:r>
      <w:r w:rsidR="006848F2">
        <w:t xml:space="preserve"> aspic and resist all change for the sake of it, what it seeks is well managed positive change that enhances the </w:t>
      </w:r>
      <w:r w:rsidR="00B21575">
        <w:t xml:space="preserve">CA for future </w:t>
      </w:r>
      <w:r>
        <w:t xml:space="preserve">generations to enjoy </w:t>
      </w:r>
      <w:r w:rsidR="00B21575">
        <w:t>as the ‘jewel in the crown’ of the Village</w:t>
      </w:r>
      <w:r w:rsidR="00190FD9">
        <w:t>.</w:t>
      </w:r>
    </w:p>
    <w:p w14:paraId="019D809E" w14:textId="600993DC" w:rsidR="00190FD9" w:rsidRDefault="00190FD9">
      <w:r>
        <w:t xml:space="preserve">NPC will also seek to reduce </w:t>
      </w:r>
      <w:r w:rsidR="001831D1">
        <w:t>any</w:t>
      </w:r>
      <w:r>
        <w:t xml:space="preserve"> negative impact of nearby development that is outside the conservation by gathering evidence and lobbying for improvements</w:t>
      </w:r>
      <w:r w:rsidR="001831D1">
        <w:t>, the</w:t>
      </w:r>
      <w:r>
        <w:t xml:space="preserve"> main issue </w:t>
      </w:r>
      <w:r w:rsidR="005C71C5">
        <w:t>being</w:t>
      </w:r>
      <w:r>
        <w:t xml:space="preserve"> traffic density and related issues that do not necessarily begin and end at the CA boundary.</w:t>
      </w:r>
    </w:p>
    <w:p w14:paraId="60821905" w14:textId="1281EF0C" w:rsidR="00B21575" w:rsidRPr="004516A1" w:rsidRDefault="00B21575">
      <w:pPr>
        <w:rPr>
          <w:b/>
          <w:bCs/>
          <w:u w:val="single"/>
        </w:rPr>
      </w:pPr>
      <w:r w:rsidRPr="004516A1">
        <w:rPr>
          <w:b/>
          <w:bCs/>
          <w:u w:val="single"/>
        </w:rPr>
        <w:t>Role of the Conservation Area Working Group</w:t>
      </w:r>
    </w:p>
    <w:p w14:paraId="5E8BB8DA" w14:textId="016C8112" w:rsidR="00B21575" w:rsidRDefault="007E2938">
      <w:r>
        <w:t xml:space="preserve">The </w:t>
      </w:r>
      <w:r w:rsidR="009B4198">
        <w:t>Conservation Area W</w:t>
      </w:r>
      <w:r>
        <w:t xml:space="preserve">orking </w:t>
      </w:r>
      <w:r w:rsidR="009B4198">
        <w:t>G</w:t>
      </w:r>
      <w:r>
        <w:t xml:space="preserve">roup </w:t>
      </w:r>
      <w:r w:rsidR="009B4198">
        <w:t xml:space="preserve">is </w:t>
      </w:r>
      <w:proofErr w:type="gramStart"/>
      <w:r w:rsidR="009B4198">
        <w:t>a</w:t>
      </w:r>
      <w:proofErr w:type="gramEnd"/>
      <w:r w:rsidR="009B4198">
        <w:t xml:space="preserve"> NPC Working Group and </w:t>
      </w:r>
      <w:r>
        <w:t xml:space="preserve">has a role in informing and advising </w:t>
      </w:r>
      <w:r w:rsidR="009B4198">
        <w:t>it</w:t>
      </w:r>
      <w:r>
        <w:t xml:space="preserve"> on matters affecting the CA as well as pursuing volunteer projects that enhance the CA from time to time. </w:t>
      </w:r>
      <w:r w:rsidR="0079362B">
        <w:t>It will also lobby third part individuals</w:t>
      </w:r>
      <w:r w:rsidR="001831D1">
        <w:t>, in particular the WLDC Conservation Officer</w:t>
      </w:r>
      <w:r w:rsidR="0079362B">
        <w:t xml:space="preserve"> and organisations on behalf of NPC – when approved by council to do so and in consultation with The Clerk.</w:t>
      </w:r>
    </w:p>
    <w:p w14:paraId="01D60792" w14:textId="21C4F4A6" w:rsidR="007E2938" w:rsidRPr="004516A1" w:rsidRDefault="00904F40">
      <w:pPr>
        <w:rPr>
          <w:b/>
          <w:bCs/>
          <w:u w:val="single"/>
        </w:rPr>
      </w:pPr>
      <w:r>
        <w:rPr>
          <w:b/>
          <w:bCs/>
          <w:u w:val="single"/>
        </w:rPr>
        <w:t>‘Minor’ Works</w:t>
      </w:r>
      <w:r w:rsidR="007E2938" w:rsidRPr="004516A1">
        <w:rPr>
          <w:b/>
          <w:bCs/>
          <w:u w:val="single"/>
        </w:rPr>
        <w:t xml:space="preserve"> carried out by NPC in the Conservation Area</w:t>
      </w:r>
    </w:p>
    <w:p w14:paraId="41BE6002" w14:textId="1CA6D48D" w:rsidR="00904F40" w:rsidRDefault="004516A1" w:rsidP="001C78CD">
      <w:r>
        <w:t xml:space="preserve">NPC will ensure any development it carries out complies with </w:t>
      </w:r>
      <w:r w:rsidR="001C78CD">
        <w:t xml:space="preserve">HE </w:t>
      </w:r>
      <w:r>
        <w:t xml:space="preserve">guidance and </w:t>
      </w:r>
      <w:r w:rsidR="001C78CD">
        <w:t>additionally</w:t>
      </w:r>
      <w:r>
        <w:t xml:space="preserve"> sets the highest example</w:t>
      </w:r>
      <w:r w:rsidR="009B4198">
        <w:t xml:space="preserve"> reasonably possible</w:t>
      </w:r>
      <w:r>
        <w:t xml:space="preserve"> to other individuals and organisations. </w:t>
      </w:r>
      <w:r w:rsidR="00BD5EA0">
        <w:t>This is seen as strategically important.</w:t>
      </w:r>
    </w:p>
    <w:p w14:paraId="2138E8D5" w14:textId="119FEF00" w:rsidR="00904F40" w:rsidRDefault="00904F40" w:rsidP="001C78CD">
      <w:r>
        <w:t xml:space="preserve">This </w:t>
      </w:r>
      <w:r w:rsidR="004516A1">
        <w:t>include</w:t>
      </w:r>
      <w:r w:rsidR="001C78CD">
        <w:t xml:space="preserve">s: </w:t>
      </w:r>
    </w:p>
    <w:p w14:paraId="763DB265" w14:textId="77777777" w:rsidR="00904F40" w:rsidRPr="00904F40" w:rsidRDefault="004516A1" w:rsidP="00904F40">
      <w:pPr>
        <w:pStyle w:val="ListParagraph"/>
        <w:numPr>
          <w:ilvl w:val="0"/>
          <w:numId w:val="1"/>
        </w:numPr>
      </w:pPr>
      <w:r w:rsidRPr="00904F40">
        <w:t>Signs</w:t>
      </w:r>
      <w:r w:rsidR="00904F40" w:rsidRPr="00904F40">
        <w:t xml:space="preserve"> </w:t>
      </w:r>
    </w:p>
    <w:p w14:paraId="2DD31A5A" w14:textId="37F1B644" w:rsidR="001C78CD" w:rsidRDefault="00904F40" w:rsidP="00904F40">
      <w:pPr>
        <w:pStyle w:val="ListParagraph"/>
        <w:numPr>
          <w:ilvl w:val="0"/>
          <w:numId w:val="1"/>
        </w:numPr>
      </w:pPr>
      <w:r w:rsidRPr="00904F40">
        <w:t>A</w:t>
      </w:r>
      <w:r w:rsidR="004516A1" w:rsidRPr="00904F40">
        <w:t>dvertisements, (including display boards)</w:t>
      </w:r>
    </w:p>
    <w:p w14:paraId="2A31E5AC" w14:textId="6B893E5D" w:rsidR="00904F40" w:rsidRDefault="00904F40" w:rsidP="00904F40">
      <w:pPr>
        <w:pStyle w:val="ListParagraph"/>
        <w:numPr>
          <w:ilvl w:val="0"/>
          <w:numId w:val="1"/>
        </w:numPr>
      </w:pPr>
      <w:r>
        <w:t>Benches</w:t>
      </w:r>
    </w:p>
    <w:p w14:paraId="530DA38E" w14:textId="0F3C998A" w:rsidR="00904F40" w:rsidRPr="00904F40" w:rsidRDefault="00904F40" w:rsidP="00904F40">
      <w:pPr>
        <w:pStyle w:val="ListParagraph"/>
        <w:numPr>
          <w:ilvl w:val="0"/>
          <w:numId w:val="1"/>
        </w:numPr>
      </w:pPr>
      <w:r>
        <w:t>‘Temporary’ Buildings</w:t>
      </w:r>
    </w:p>
    <w:p w14:paraId="04A1A623" w14:textId="2F4C383E" w:rsidR="001C78CD" w:rsidRDefault="001C78CD" w:rsidP="001C78CD">
      <w:r w:rsidRPr="009962BA">
        <w:lastRenderedPageBreak/>
        <w:t xml:space="preserve">The </w:t>
      </w:r>
      <w:r w:rsidR="00BD5EA0">
        <w:t xml:space="preserve">high amenity value </w:t>
      </w:r>
      <w:r w:rsidRPr="009962BA">
        <w:t xml:space="preserve">of </w:t>
      </w:r>
      <w:r>
        <w:t>the Conservation Area</w:t>
      </w:r>
      <w:r w:rsidRPr="009962BA">
        <w:t xml:space="preserve"> lies in </w:t>
      </w:r>
      <w:r w:rsidR="00BD5EA0">
        <w:t>the historic use of traditional and natural</w:t>
      </w:r>
      <w:r w:rsidRPr="009962BA">
        <w:t xml:space="preserve"> materials and the way they have been u</w:t>
      </w:r>
      <w:r w:rsidR="00BD5EA0">
        <w:t>tilised over time</w:t>
      </w:r>
      <w:r w:rsidR="00B050B9">
        <w:t>;</w:t>
      </w:r>
      <w:r>
        <w:t xml:space="preserve"> this includes signs and street furniture.</w:t>
      </w:r>
      <w:r w:rsidRPr="009962BA">
        <w:t xml:space="preserve"> Through time and the effects of the elements, the weathering of natural materials results in an appearance (patina) that improves with age</w:t>
      </w:r>
      <w:r w:rsidR="00BD5EA0">
        <w:t xml:space="preserve">. This high amenity value has been chipped away over time </w:t>
      </w:r>
      <w:proofErr w:type="gramStart"/>
      <w:r w:rsidR="00BD5EA0">
        <w:t>by the use of</w:t>
      </w:r>
      <w:proofErr w:type="gramEnd"/>
      <w:r w:rsidR="00BD5EA0">
        <w:t xml:space="preserve"> </w:t>
      </w:r>
      <w:r w:rsidRPr="009962BA">
        <w:t>modern artificial alternatives</w:t>
      </w:r>
      <w:r w:rsidR="00BD5EA0">
        <w:t>. Therefore</w:t>
      </w:r>
      <w:r w:rsidR="00A641E0">
        <w:t>,</w:t>
      </w:r>
      <w:r w:rsidR="00BD5EA0">
        <w:t xml:space="preserve"> NPC policy is to use traditional materials</w:t>
      </w:r>
      <w:r w:rsidR="005C71C5">
        <w:t xml:space="preserve"> that are appropriate and respect the CA </w:t>
      </w:r>
      <w:r w:rsidR="00BD5EA0">
        <w:t>wherever practicable, for all minor works within the CA</w:t>
      </w:r>
      <w:r>
        <w:t>.</w:t>
      </w:r>
    </w:p>
    <w:p w14:paraId="667171B5" w14:textId="69B3E437" w:rsidR="00A641E0" w:rsidRPr="008A7315" w:rsidRDefault="001C78CD" w:rsidP="001C78CD">
      <w:pPr>
        <w:rPr>
          <w:rFonts w:cstheme="minorHAnsi"/>
        </w:rPr>
      </w:pPr>
      <w:r>
        <w:t>NB</w:t>
      </w:r>
      <w:r w:rsidR="00B050B9">
        <w:t>:</w:t>
      </w:r>
      <w:r>
        <w:t xml:space="preserve"> exceptions may be made for small signs of less than 200 cm</w:t>
      </w:r>
      <w:r>
        <w:rPr>
          <w:rFonts w:cstheme="minorHAnsi"/>
        </w:rPr>
        <w:t>²</w:t>
      </w:r>
    </w:p>
    <w:p w14:paraId="05816D47" w14:textId="4824E6A0" w:rsidR="00904F40" w:rsidRDefault="00904F40" w:rsidP="00904F40">
      <w:pPr>
        <w:rPr>
          <w:b/>
          <w:bCs/>
          <w:u w:val="single"/>
        </w:rPr>
      </w:pPr>
      <w:r>
        <w:rPr>
          <w:b/>
          <w:bCs/>
          <w:u w:val="single"/>
        </w:rPr>
        <w:t>Larger Works</w:t>
      </w:r>
      <w:r w:rsidRPr="004516A1">
        <w:rPr>
          <w:b/>
          <w:bCs/>
          <w:u w:val="single"/>
        </w:rPr>
        <w:t xml:space="preserve"> carried out by NPC in the Conservation Area</w:t>
      </w:r>
    </w:p>
    <w:p w14:paraId="1FCEB740" w14:textId="77777777" w:rsidR="005C71C5" w:rsidRDefault="00904F40" w:rsidP="00904F40">
      <w:r w:rsidRPr="00904F40">
        <w:t xml:space="preserve">By their nature these </w:t>
      </w:r>
      <w:r w:rsidR="00EE4435">
        <w:t xml:space="preserve">such works </w:t>
      </w:r>
      <w:r w:rsidRPr="00904F40">
        <w:t>will face greater scrutiny but nevertheless the emphasis should be on best practice</w:t>
      </w:r>
      <w:r w:rsidR="00A641E0">
        <w:t xml:space="preserve"> - </w:t>
      </w:r>
      <w:r w:rsidRPr="00592DE2">
        <w:t xml:space="preserve">materials should be in character with </w:t>
      </w:r>
      <w:r w:rsidR="00EE4435">
        <w:t>their</w:t>
      </w:r>
      <w:r w:rsidRPr="00592DE2">
        <w:t xml:space="preserve"> surrounding </w:t>
      </w:r>
      <w:r w:rsidR="00A641E0">
        <w:t xml:space="preserve">historic </w:t>
      </w:r>
      <w:r w:rsidRPr="00592DE2">
        <w:t>architecture.</w:t>
      </w:r>
      <w:r w:rsidR="00EE4435">
        <w:t xml:space="preserve"> </w:t>
      </w:r>
      <w:r w:rsidR="0079362B" w:rsidRPr="00592DE2">
        <w:t xml:space="preserve">Traditional </w:t>
      </w:r>
      <w:r w:rsidR="0079362B">
        <w:t>materials</w:t>
      </w:r>
      <w:r w:rsidR="00EE4435">
        <w:t xml:space="preserve"> </w:t>
      </w:r>
      <w:r w:rsidRPr="00592DE2">
        <w:t xml:space="preserve">are normally more appropriate. Synthetic materials such as anodised aluminium, plastic or fibreglass are rarely </w:t>
      </w:r>
      <w:proofErr w:type="gramStart"/>
      <w:r w:rsidRPr="00592DE2">
        <w:t>appropriate</w:t>
      </w:r>
      <w:proofErr w:type="gramEnd"/>
      <w:r w:rsidRPr="00592DE2">
        <w:t xml:space="preserve"> and their use </w:t>
      </w:r>
      <w:r w:rsidR="00EE4435">
        <w:t>should</w:t>
      </w:r>
      <w:r w:rsidRPr="00592DE2">
        <w:t xml:space="preserve"> be resisted within CAs and on historic buildings. </w:t>
      </w:r>
    </w:p>
    <w:p w14:paraId="01ECFACB" w14:textId="623ECC27" w:rsidR="00904F40" w:rsidRDefault="00904F40" w:rsidP="00904F40">
      <w:r w:rsidRPr="00592DE2">
        <w:t>Timber is nearly always more appropriate for window framing and should be incorporated wherever possible. In the interests of the conservation of natural resources</w:t>
      </w:r>
      <w:r w:rsidR="00B050B9">
        <w:t>,</w:t>
      </w:r>
      <w:r w:rsidR="00EE4435">
        <w:t xml:space="preserve"> NPC will </w:t>
      </w:r>
      <w:r w:rsidRPr="00592DE2">
        <w:t>specify</w:t>
      </w:r>
      <w:r w:rsidR="00B050B9">
        <w:t>, where practical,</w:t>
      </w:r>
      <w:r w:rsidRPr="00592DE2">
        <w:t xml:space="preserve"> the use of hardwoods from sustainable and </w:t>
      </w:r>
      <w:proofErr w:type="gramStart"/>
      <w:r w:rsidRPr="00592DE2">
        <w:t>properly-managed</w:t>
      </w:r>
      <w:proofErr w:type="gramEnd"/>
      <w:r w:rsidRPr="00592DE2">
        <w:t xml:space="preserve"> sources</w:t>
      </w:r>
      <w:r w:rsidR="00EE4435">
        <w:t>.</w:t>
      </w:r>
    </w:p>
    <w:p w14:paraId="052A57D9" w14:textId="4423B278" w:rsidR="00190FD9" w:rsidRDefault="00190FD9" w:rsidP="00904F40">
      <w:pPr>
        <w:rPr>
          <w:b/>
          <w:bCs/>
          <w:u w:val="single"/>
        </w:rPr>
      </w:pPr>
      <w:r w:rsidRPr="00190FD9">
        <w:rPr>
          <w:b/>
          <w:bCs/>
          <w:u w:val="single"/>
        </w:rPr>
        <w:t>Signage in the CA</w:t>
      </w:r>
      <w:r w:rsidR="005C71C5">
        <w:rPr>
          <w:b/>
          <w:bCs/>
          <w:u w:val="single"/>
        </w:rPr>
        <w:t xml:space="preserve"> as a whole</w:t>
      </w:r>
    </w:p>
    <w:p w14:paraId="2EFEA938" w14:textId="7091B652" w:rsidR="00190FD9" w:rsidRPr="00D46BA2" w:rsidRDefault="00190FD9" w:rsidP="00904F40">
      <w:r w:rsidRPr="00D46BA2">
        <w:t xml:space="preserve">One of the most disappointing aspects of the CA is the proliferation of </w:t>
      </w:r>
      <w:r w:rsidR="00D46BA2" w:rsidRPr="00D46BA2">
        <w:t xml:space="preserve">unnecessary signage, often </w:t>
      </w:r>
      <w:r w:rsidR="00224796">
        <w:t>in</w:t>
      </w:r>
      <w:r w:rsidR="00D46BA2" w:rsidRPr="00D46BA2">
        <w:t xml:space="preserve"> cheap inappropriate materials and </w:t>
      </w:r>
      <w:r w:rsidR="00A641E0">
        <w:t>in some cases</w:t>
      </w:r>
      <w:r w:rsidR="0064489A">
        <w:t xml:space="preserve"> </w:t>
      </w:r>
      <w:r w:rsidR="00D46BA2" w:rsidRPr="00D46BA2">
        <w:t>poorly maintained. NPC will take what steps it can to improve this</w:t>
      </w:r>
      <w:r w:rsidR="00B050B9">
        <w:t>:</w:t>
      </w:r>
    </w:p>
    <w:p w14:paraId="598EDCCF" w14:textId="6028FE5A" w:rsidR="00D46BA2" w:rsidRDefault="00D46BA2" w:rsidP="00D46BA2">
      <w:pPr>
        <w:pStyle w:val="ListParagraph"/>
        <w:numPr>
          <w:ilvl w:val="0"/>
          <w:numId w:val="2"/>
        </w:numPr>
      </w:pPr>
      <w:r w:rsidRPr="00D46BA2">
        <w:t>NPC will demonstrate best practice</w:t>
      </w:r>
      <w:r w:rsidR="005C71C5">
        <w:t xml:space="preserve"> on its own projects and properties within the CA</w:t>
      </w:r>
    </w:p>
    <w:p w14:paraId="5F559A6F" w14:textId="210C51F7" w:rsidR="00D46BA2" w:rsidRDefault="00D46BA2" w:rsidP="00D46BA2">
      <w:pPr>
        <w:pStyle w:val="ListParagraph"/>
        <w:numPr>
          <w:ilvl w:val="0"/>
          <w:numId w:val="2"/>
        </w:numPr>
      </w:pPr>
      <w:r w:rsidRPr="00D46BA2">
        <w:t>Lobby WLDC to issue guidance (at the time of writing</w:t>
      </w:r>
      <w:r w:rsidR="00B050B9">
        <w:t>,</w:t>
      </w:r>
      <w:r w:rsidRPr="00D46BA2">
        <w:t xml:space="preserve"> it is in draft form)</w:t>
      </w:r>
    </w:p>
    <w:p w14:paraId="12EAD76B" w14:textId="34AD13C9" w:rsidR="00224796" w:rsidRPr="00224796" w:rsidRDefault="00D46BA2" w:rsidP="00224796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NPC will offer in the absence of clear binding guidance from WLDC its own voluntary code </w:t>
      </w:r>
      <w:r w:rsidR="001831D1">
        <w:t>for signage within the CA</w:t>
      </w:r>
      <w:r>
        <w:t xml:space="preserve">: </w:t>
      </w:r>
      <w:r w:rsidR="00B050B9">
        <w:t>t</w:t>
      </w:r>
      <w:r w:rsidRPr="00592DE2">
        <w:t>he use of materials in new shopfronts</w:t>
      </w:r>
      <w:r>
        <w:t>, including signage</w:t>
      </w:r>
      <w:r w:rsidRPr="00592DE2">
        <w:t xml:space="preserve"> should be in character with the </w:t>
      </w:r>
      <w:r>
        <w:t xml:space="preserve">conservation </w:t>
      </w:r>
      <w:proofErr w:type="gramStart"/>
      <w:r>
        <w:t>area as a whole</w:t>
      </w:r>
      <w:r w:rsidR="00224796">
        <w:t>,</w:t>
      </w:r>
      <w:r>
        <w:t xml:space="preserve"> </w:t>
      </w:r>
      <w:r w:rsidR="00224796">
        <w:t>t</w:t>
      </w:r>
      <w:r w:rsidRPr="00592DE2">
        <w:t>raditional</w:t>
      </w:r>
      <w:proofErr w:type="gramEnd"/>
      <w:r w:rsidRPr="00592DE2">
        <w:t xml:space="preserve"> materials suc</w:t>
      </w:r>
      <w:r w:rsidR="00224796">
        <w:t>h as timber</w:t>
      </w:r>
      <w:r w:rsidRPr="00592DE2">
        <w:t xml:space="preserve"> are normally more appropriate. </w:t>
      </w:r>
      <w:r w:rsidR="00224796">
        <w:t>M</w:t>
      </w:r>
      <w:r w:rsidRPr="00592DE2">
        <w:t xml:space="preserve">aterials such as anodised aluminium, plastic or fibreglass are </w:t>
      </w:r>
      <w:r w:rsidR="00224796">
        <w:t>not</w:t>
      </w:r>
      <w:r w:rsidRPr="00592DE2">
        <w:t xml:space="preserve"> appropriate</w:t>
      </w:r>
      <w:r w:rsidR="00224796">
        <w:t xml:space="preserve"> to </w:t>
      </w:r>
      <w:r w:rsidR="00B050B9">
        <w:t xml:space="preserve">the </w:t>
      </w:r>
      <w:r w:rsidR="00224796">
        <w:t>CA.</w:t>
      </w:r>
      <w:r w:rsidRPr="00592DE2">
        <w:t xml:space="preserve"> Where existing natural materials are in good condition on shopfronts, they should be retained and conserved whenever possible. </w:t>
      </w:r>
    </w:p>
    <w:p w14:paraId="2EB5FEE9" w14:textId="4B14A47B" w:rsidR="00224796" w:rsidRPr="00224796" w:rsidRDefault="00224796" w:rsidP="00224796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Develop relationships with stakeholders to bring about improvements </w:t>
      </w:r>
    </w:p>
    <w:p w14:paraId="286A1170" w14:textId="1A3B2D99" w:rsidR="00224796" w:rsidRPr="005C71C5" w:rsidRDefault="00224796" w:rsidP="00224796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The Conservation Area </w:t>
      </w:r>
      <w:proofErr w:type="spellStart"/>
      <w:r>
        <w:t>WG</w:t>
      </w:r>
      <w:proofErr w:type="spellEnd"/>
      <w:r>
        <w:t xml:space="preserve"> will carry out a biannual signage review</w:t>
      </w:r>
    </w:p>
    <w:p w14:paraId="21DB8911" w14:textId="2672F3CC" w:rsidR="005C71C5" w:rsidRDefault="005C71C5" w:rsidP="005C71C5">
      <w:pPr>
        <w:rPr>
          <w:b/>
          <w:bCs/>
          <w:u w:val="single"/>
        </w:rPr>
      </w:pPr>
      <w:r>
        <w:rPr>
          <w:b/>
          <w:bCs/>
          <w:u w:val="single"/>
        </w:rPr>
        <w:t>Works by third parties within the CA</w:t>
      </w:r>
    </w:p>
    <w:p w14:paraId="346BB90A" w14:textId="6EDCDFEE" w:rsidR="005C71C5" w:rsidRDefault="005C71C5" w:rsidP="005C71C5">
      <w:pPr>
        <w:rPr>
          <w:b/>
          <w:bCs/>
          <w:u w:val="single"/>
        </w:rPr>
      </w:pPr>
      <w:r>
        <w:t>As with any larger projects, by</w:t>
      </w:r>
      <w:r w:rsidRPr="00904F40">
        <w:t xml:space="preserve"> their nature</w:t>
      </w:r>
      <w:r w:rsidR="00B050B9">
        <w:t>,</w:t>
      </w:r>
      <w:r w:rsidRPr="00904F40">
        <w:t xml:space="preserve"> these </w:t>
      </w:r>
      <w:r>
        <w:t xml:space="preserve">such works </w:t>
      </w:r>
      <w:r w:rsidRPr="00904F40">
        <w:t xml:space="preserve">will face greater scrutiny but nevertheless </w:t>
      </w:r>
      <w:r>
        <w:t>NPC should be alert to all new applications and comment accordingly</w:t>
      </w:r>
      <w:r w:rsidR="00F55E50">
        <w:t>.</w:t>
      </w:r>
    </w:p>
    <w:p w14:paraId="46B79502" w14:textId="28C3BDB6" w:rsidR="005C71C5" w:rsidRDefault="00F55E50" w:rsidP="005C71C5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LCC</w:t>
      </w:r>
      <w:proofErr w:type="spellEnd"/>
      <w:r>
        <w:rPr>
          <w:b/>
          <w:bCs/>
          <w:u w:val="single"/>
        </w:rPr>
        <w:t xml:space="preserve"> Highways</w:t>
      </w:r>
    </w:p>
    <w:p w14:paraId="747D51D6" w14:textId="31F02693" w:rsidR="00F55E50" w:rsidRPr="00F52451" w:rsidRDefault="00F55E50" w:rsidP="005C71C5">
      <w:r w:rsidRPr="00F52451">
        <w:t>Generally</w:t>
      </w:r>
      <w:r w:rsidR="00F52451">
        <w:t>,</w:t>
      </w:r>
      <w:r w:rsidRPr="00F52451">
        <w:t xml:space="preserve"> there are no requirements on ‘Highways’ to offer signage and surface treatments that are sympathetic to a CA. However, such alternatives are available and can make a big impact. Wh</w:t>
      </w:r>
      <w:r w:rsidR="00B050B9">
        <w:t>e</w:t>
      </w:r>
      <w:r w:rsidRPr="00F52451">
        <w:t xml:space="preserve">n opportunity </w:t>
      </w:r>
      <w:proofErr w:type="gramStart"/>
      <w:r w:rsidRPr="00F52451">
        <w:t>arises</w:t>
      </w:r>
      <w:proofErr w:type="gramEnd"/>
      <w:r w:rsidRPr="00F52451">
        <w:t xml:space="preserve"> NPC will seek to lobby for these enhancements.</w:t>
      </w:r>
    </w:p>
    <w:p w14:paraId="1F3BFA1F" w14:textId="77777777" w:rsidR="005C71C5" w:rsidRPr="005C71C5" w:rsidRDefault="005C71C5" w:rsidP="005C71C5">
      <w:pPr>
        <w:rPr>
          <w:b/>
          <w:bCs/>
          <w:u w:val="single"/>
        </w:rPr>
      </w:pPr>
    </w:p>
    <w:p w14:paraId="3359EEAE" w14:textId="77777777" w:rsidR="00F52451" w:rsidRDefault="00F52451" w:rsidP="00224796">
      <w:pPr>
        <w:rPr>
          <w:b/>
          <w:bCs/>
          <w:u w:val="single"/>
        </w:rPr>
      </w:pPr>
    </w:p>
    <w:p w14:paraId="7F1FD690" w14:textId="77777777" w:rsidR="00B050B9" w:rsidRDefault="00B050B9" w:rsidP="00224796">
      <w:pPr>
        <w:rPr>
          <w:b/>
          <w:bCs/>
          <w:u w:val="single"/>
        </w:rPr>
      </w:pPr>
    </w:p>
    <w:p w14:paraId="4F507D4F" w14:textId="6504AAF8" w:rsidR="00B21575" w:rsidRPr="00224796" w:rsidRDefault="00B21575" w:rsidP="00224796">
      <w:pPr>
        <w:rPr>
          <w:b/>
          <w:bCs/>
          <w:u w:val="single"/>
        </w:rPr>
      </w:pPr>
      <w:r w:rsidRPr="00224796">
        <w:rPr>
          <w:b/>
          <w:bCs/>
          <w:u w:val="single"/>
        </w:rPr>
        <w:lastRenderedPageBreak/>
        <w:t xml:space="preserve">Conservation Area Officer and </w:t>
      </w:r>
      <w:r w:rsidR="00190FD9" w:rsidRPr="00224796">
        <w:rPr>
          <w:b/>
          <w:bCs/>
          <w:u w:val="single"/>
        </w:rPr>
        <w:t xml:space="preserve">CA </w:t>
      </w:r>
      <w:r w:rsidRPr="00224796">
        <w:rPr>
          <w:b/>
          <w:bCs/>
          <w:u w:val="single"/>
        </w:rPr>
        <w:t>Appraisal</w:t>
      </w:r>
    </w:p>
    <w:p w14:paraId="27120B5F" w14:textId="13866509" w:rsidR="00224796" w:rsidRDefault="00B21575">
      <w:r w:rsidRPr="00B21575">
        <w:t>Communication with the WLDC Conservation Officer is patchy and the impression is one of being under resourced</w:t>
      </w:r>
      <w:r>
        <w:t xml:space="preserve">. NPC policy </w:t>
      </w:r>
      <w:r w:rsidR="007E2938">
        <w:t>is</w:t>
      </w:r>
      <w:r>
        <w:t xml:space="preserve"> to inform and cooperate with the Officer, ultimately providing enough feedback to inform the overdue appraisal</w:t>
      </w:r>
      <w:r w:rsidR="007E2938">
        <w:t xml:space="preserve"> in the form of individual topics or a wider ranging </w:t>
      </w:r>
      <w:r w:rsidR="00224796">
        <w:t xml:space="preserve">draft </w:t>
      </w:r>
      <w:r w:rsidR="007E2938">
        <w:t xml:space="preserve">appraisal. Locals will clearly have local knowledge that the Conservation Officer </w:t>
      </w:r>
      <w:r w:rsidR="00190FD9">
        <w:t xml:space="preserve">may </w:t>
      </w:r>
      <w:r w:rsidR="007E2938">
        <w:t>not.</w:t>
      </w:r>
    </w:p>
    <w:p w14:paraId="28D3252B" w14:textId="4CEF6DDB" w:rsidR="00224796" w:rsidRPr="0008642A" w:rsidRDefault="00224796">
      <w:pPr>
        <w:rPr>
          <w:b/>
          <w:bCs/>
          <w:u w:val="single"/>
        </w:rPr>
      </w:pPr>
      <w:r w:rsidRPr="0008642A">
        <w:rPr>
          <w:b/>
          <w:bCs/>
          <w:u w:val="single"/>
        </w:rPr>
        <w:t>Article 4 direction and listings</w:t>
      </w:r>
    </w:p>
    <w:p w14:paraId="7BB3CD6C" w14:textId="037756CA" w:rsidR="0008642A" w:rsidRDefault="00224796">
      <w:r>
        <w:t>There have been no major changes to this situation since 1985. As this is long overdue</w:t>
      </w:r>
      <w:r w:rsidR="00B050B9">
        <w:t>,</w:t>
      </w:r>
      <w:r>
        <w:t xml:space="preserve"> </w:t>
      </w:r>
      <w:r w:rsidR="00B56684">
        <w:t>t</w:t>
      </w:r>
      <w:r>
        <w:t xml:space="preserve">he Conservation Area </w:t>
      </w:r>
      <w:proofErr w:type="spellStart"/>
      <w:r>
        <w:t>WG</w:t>
      </w:r>
      <w:proofErr w:type="spellEnd"/>
      <w:r>
        <w:t xml:space="preserve"> carried out its own review. It has recommended the </w:t>
      </w:r>
      <w:r w:rsidR="0008642A">
        <w:t>Black Horse PH and Old Institute are awarded grade 2 listing.</w:t>
      </w:r>
    </w:p>
    <w:p w14:paraId="04BC1889" w14:textId="3AB627F5" w:rsidR="0008642A" w:rsidRDefault="0008642A">
      <w:r>
        <w:t>Reviews will now be carried out biannually.</w:t>
      </w:r>
    </w:p>
    <w:p w14:paraId="034A2B8F" w14:textId="24767CAF" w:rsidR="0008642A" w:rsidRPr="0008642A" w:rsidRDefault="0008642A">
      <w:pPr>
        <w:rPr>
          <w:b/>
          <w:bCs/>
          <w:u w:val="single"/>
        </w:rPr>
      </w:pPr>
      <w:r w:rsidRPr="0008642A">
        <w:rPr>
          <w:b/>
          <w:bCs/>
          <w:u w:val="single"/>
        </w:rPr>
        <w:t>Trees</w:t>
      </w:r>
    </w:p>
    <w:p w14:paraId="3EEFC8BB" w14:textId="0A961DAE" w:rsidR="00B56684" w:rsidRPr="0064489A" w:rsidRDefault="00B56684" w:rsidP="00B5668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64489A">
        <w:rPr>
          <w:rFonts w:eastAsia="Times New Roman" w:cstheme="minorHAnsi"/>
          <w:kern w:val="0"/>
          <w:lang w:eastAsia="en-GB"/>
          <w14:ligatures w14:val="none"/>
        </w:rPr>
        <w:t xml:space="preserve">Trees with a significant girth (10 cm) in the </w:t>
      </w:r>
      <w:proofErr w:type="spellStart"/>
      <w:r w:rsidRPr="0064489A">
        <w:rPr>
          <w:rFonts w:eastAsia="Times New Roman" w:cstheme="minorHAnsi"/>
          <w:kern w:val="0"/>
          <w:lang w:eastAsia="en-GB"/>
          <w14:ligatures w14:val="none"/>
        </w:rPr>
        <w:t>NCA</w:t>
      </w:r>
      <w:proofErr w:type="spellEnd"/>
      <w:r w:rsidRPr="0064489A">
        <w:rPr>
          <w:rFonts w:eastAsia="Times New Roman" w:cstheme="minorHAnsi"/>
          <w:kern w:val="0"/>
          <w:lang w:eastAsia="en-GB"/>
          <w14:ligatures w14:val="none"/>
        </w:rPr>
        <w:t xml:space="preserve"> have limited protection under current legislation, meaning their amenity value must be considered before any applications to </w:t>
      </w:r>
      <w:proofErr w:type="spellStart"/>
      <w:r w:rsidRPr="0064489A">
        <w:rPr>
          <w:rFonts w:eastAsia="Times New Roman" w:cstheme="minorHAnsi"/>
          <w:kern w:val="0"/>
          <w:lang w:eastAsia="en-GB"/>
          <w14:ligatures w14:val="none"/>
        </w:rPr>
        <w:t>fell</w:t>
      </w:r>
      <w:proofErr w:type="spellEnd"/>
      <w:r w:rsidRPr="0064489A">
        <w:rPr>
          <w:rFonts w:eastAsia="Times New Roman" w:cstheme="minorHAnsi"/>
          <w:kern w:val="0"/>
          <w:lang w:eastAsia="en-GB"/>
          <w14:ligatures w14:val="none"/>
        </w:rPr>
        <w:t xml:space="preserve"> them are approved. NPC has no direct influence over these applications but recogni</w:t>
      </w:r>
      <w:r w:rsidR="00DD6A3E">
        <w:rPr>
          <w:rFonts w:eastAsia="Times New Roman" w:cstheme="minorHAnsi"/>
          <w:kern w:val="0"/>
          <w:lang w:eastAsia="en-GB"/>
          <w14:ligatures w14:val="none"/>
        </w:rPr>
        <w:t>s</w:t>
      </w:r>
      <w:r w:rsidRPr="0064489A">
        <w:rPr>
          <w:rFonts w:eastAsia="Times New Roman" w:cstheme="minorHAnsi"/>
          <w:kern w:val="0"/>
          <w:lang w:eastAsia="en-GB"/>
          <w14:ligatures w14:val="none"/>
        </w:rPr>
        <w:t xml:space="preserve">es the importance of acting independently to assess tree applications. NPC </w:t>
      </w:r>
      <w:r w:rsidR="00F36EFF">
        <w:rPr>
          <w:rFonts w:eastAsia="Times New Roman" w:cstheme="minorHAnsi"/>
          <w:kern w:val="0"/>
          <w:lang w:eastAsia="en-GB"/>
          <w14:ligatures w14:val="none"/>
        </w:rPr>
        <w:t>should</w:t>
      </w:r>
      <w:r w:rsidRPr="0064489A">
        <w:rPr>
          <w:rFonts w:eastAsia="Times New Roman" w:cstheme="minorHAnsi"/>
          <w:kern w:val="0"/>
          <w:lang w:eastAsia="en-GB"/>
          <w14:ligatures w14:val="none"/>
        </w:rPr>
        <w:t xml:space="preserve"> use the same methodology as WLDC to evaluate new tree applications and promptly communicate its views to WLDC for consideration</w:t>
      </w:r>
      <w:r w:rsidR="00F600B0">
        <w:rPr>
          <w:rFonts w:eastAsia="Times New Roman" w:cstheme="minorHAnsi"/>
          <w:kern w:val="0"/>
          <w:lang w:eastAsia="en-GB"/>
          <w14:ligatures w14:val="none"/>
        </w:rPr>
        <w:t>.</w:t>
      </w:r>
    </w:p>
    <w:p w14:paraId="0FF4956A" w14:textId="0C36E8CA" w:rsidR="00B56684" w:rsidRPr="0064489A" w:rsidRDefault="0064489A" w:rsidP="00B56684">
      <w:pPr>
        <w:spacing w:after="0" w:line="240" w:lineRule="auto"/>
        <w:rPr>
          <w:rFonts w:eastAsia="Times New Roman" w:cstheme="minorHAnsi"/>
          <w:b/>
          <w:bCs/>
          <w:kern w:val="0"/>
          <w:u w:val="single"/>
          <w:lang w:eastAsia="en-GB"/>
          <w14:ligatures w14:val="none"/>
        </w:rPr>
      </w:pPr>
      <w:r w:rsidRPr="0064489A">
        <w:rPr>
          <w:rFonts w:eastAsia="Times New Roman" w:cstheme="minorHAnsi"/>
          <w:b/>
          <w:bCs/>
          <w:kern w:val="0"/>
          <w:u w:val="single"/>
          <w:lang w:eastAsia="en-GB"/>
          <w14:ligatures w14:val="none"/>
        </w:rPr>
        <w:t>In Conclusion</w:t>
      </w:r>
    </w:p>
    <w:p w14:paraId="3514B111" w14:textId="37B0B282" w:rsidR="00B56684" w:rsidRPr="0064489A" w:rsidRDefault="00B56684" w:rsidP="00B5668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64489A">
        <w:rPr>
          <w:rFonts w:eastAsia="Times New Roman" w:cstheme="minorHAnsi"/>
          <w:kern w:val="0"/>
          <w:lang w:eastAsia="en-GB"/>
          <w14:ligatures w14:val="none"/>
        </w:rPr>
        <w:t xml:space="preserve">This policy sets out NPC's commitment to protecting and enhancing the </w:t>
      </w:r>
      <w:proofErr w:type="spellStart"/>
      <w:r w:rsidRPr="0064489A">
        <w:rPr>
          <w:rFonts w:eastAsia="Times New Roman" w:cstheme="minorHAnsi"/>
          <w:kern w:val="0"/>
          <w:lang w:eastAsia="en-GB"/>
          <w14:ligatures w14:val="none"/>
        </w:rPr>
        <w:t>NCA</w:t>
      </w:r>
      <w:proofErr w:type="spellEnd"/>
      <w:r w:rsidRPr="0064489A">
        <w:rPr>
          <w:rFonts w:eastAsia="Times New Roman" w:cstheme="minorHAnsi"/>
          <w:kern w:val="0"/>
          <w:lang w:eastAsia="en-GB"/>
          <w14:ligatures w14:val="none"/>
        </w:rPr>
        <w:t>, ensuring that any changes respect the character and heritage of the area while allowing for positive development and improvement. Through collaboration with WLDC</w:t>
      </w:r>
      <w:r w:rsidR="00F52451">
        <w:rPr>
          <w:rFonts w:eastAsia="Times New Roman" w:cstheme="minorHAnsi"/>
          <w:kern w:val="0"/>
          <w:lang w:eastAsia="en-GB"/>
          <w14:ligatures w14:val="none"/>
        </w:rPr>
        <w:t xml:space="preserve">, </w:t>
      </w:r>
      <w:proofErr w:type="spellStart"/>
      <w:r w:rsidR="00F52451">
        <w:rPr>
          <w:rFonts w:eastAsia="Times New Roman" w:cstheme="minorHAnsi"/>
          <w:kern w:val="0"/>
          <w:lang w:eastAsia="en-GB"/>
          <w14:ligatures w14:val="none"/>
        </w:rPr>
        <w:t>LCC</w:t>
      </w:r>
      <w:proofErr w:type="spellEnd"/>
      <w:r w:rsidRPr="0064489A">
        <w:rPr>
          <w:rFonts w:eastAsia="Times New Roman" w:cstheme="minorHAnsi"/>
          <w:kern w:val="0"/>
          <w:lang w:eastAsia="en-GB"/>
          <w14:ligatures w14:val="none"/>
        </w:rPr>
        <w:t xml:space="preserve"> and other stakeholders, NPC aims to maintain </w:t>
      </w:r>
      <w:r w:rsidR="00F52451">
        <w:rPr>
          <w:rFonts w:eastAsia="Times New Roman" w:cstheme="minorHAnsi"/>
          <w:kern w:val="0"/>
          <w:lang w:eastAsia="en-GB"/>
          <w14:ligatures w14:val="none"/>
        </w:rPr>
        <w:t xml:space="preserve">and improve </w:t>
      </w:r>
      <w:r w:rsidRPr="0064489A">
        <w:rPr>
          <w:rFonts w:eastAsia="Times New Roman" w:cstheme="minorHAnsi"/>
          <w:kern w:val="0"/>
          <w:lang w:eastAsia="en-GB"/>
          <w14:ligatures w14:val="none"/>
        </w:rPr>
        <w:t xml:space="preserve">the </w:t>
      </w:r>
      <w:proofErr w:type="spellStart"/>
      <w:r w:rsidRPr="0064489A">
        <w:rPr>
          <w:rFonts w:eastAsia="Times New Roman" w:cstheme="minorHAnsi"/>
          <w:kern w:val="0"/>
          <w:lang w:eastAsia="en-GB"/>
          <w14:ligatures w14:val="none"/>
        </w:rPr>
        <w:t>NCA</w:t>
      </w:r>
      <w:proofErr w:type="spellEnd"/>
      <w:r w:rsidRPr="0064489A">
        <w:rPr>
          <w:rFonts w:eastAsia="Times New Roman" w:cstheme="minorHAnsi"/>
          <w:kern w:val="0"/>
          <w:lang w:eastAsia="en-GB"/>
          <w14:ligatures w14:val="none"/>
        </w:rPr>
        <w:t xml:space="preserve"> as a vibrant, well-preserved part of Nettleham.</w:t>
      </w:r>
    </w:p>
    <w:p w14:paraId="62FC95F6" w14:textId="5CFBD63C" w:rsidR="00190FD9" w:rsidRPr="001417A3" w:rsidRDefault="003A594E">
      <w:pPr>
        <w:rPr>
          <w:b/>
          <w:bCs/>
        </w:rPr>
      </w:pPr>
      <w:r w:rsidRPr="001417A3">
        <w:rPr>
          <w:b/>
          <w:bCs/>
        </w:rPr>
        <w:t xml:space="preserve">Adopted 17.12.2024 </w:t>
      </w:r>
    </w:p>
    <w:p w14:paraId="4C4C56A2" w14:textId="074CD9FF" w:rsidR="003A594E" w:rsidRPr="001417A3" w:rsidRDefault="003A594E">
      <w:pPr>
        <w:rPr>
          <w:b/>
          <w:bCs/>
        </w:rPr>
      </w:pPr>
      <w:r w:rsidRPr="001417A3">
        <w:rPr>
          <w:b/>
          <w:bCs/>
        </w:rPr>
        <w:t xml:space="preserve">To be reviewed as required.  </w:t>
      </w:r>
    </w:p>
    <w:p w14:paraId="3DE7952A" w14:textId="77777777" w:rsidR="00190FD9" w:rsidRDefault="00190FD9"/>
    <w:p w14:paraId="11B2E190" w14:textId="77777777" w:rsidR="00B21575" w:rsidRDefault="00B21575"/>
    <w:p w14:paraId="39B52756" w14:textId="77777777" w:rsidR="00B21575" w:rsidRPr="00B21575" w:rsidRDefault="00B21575"/>
    <w:p w14:paraId="238D515F" w14:textId="77777777" w:rsidR="00B21575" w:rsidRDefault="00B21575"/>
    <w:p w14:paraId="2B278ECA" w14:textId="77777777" w:rsidR="00E1746D" w:rsidRDefault="00E1746D"/>
    <w:p w14:paraId="402353D6" w14:textId="77777777" w:rsidR="00E1746D" w:rsidRDefault="00E1746D"/>
    <w:p w14:paraId="7FECCBBB" w14:textId="77777777" w:rsidR="00E1746D" w:rsidRDefault="00E1746D"/>
    <w:sectPr w:rsidR="00E1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AB81B" w14:textId="77777777" w:rsidR="001417A3" w:rsidRDefault="001417A3" w:rsidP="001417A3">
      <w:pPr>
        <w:spacing w:after="0" w:line="240" w:lineRule="auto"/>
      </w:pPr>
      <w:r>
        <w:separator/>
      </w:r>
    </w:p>
  </w:endnote>
  <w:endnote w:type="continuationSeparator" w:id="0">
    <w:p w14:paraId="7826CA94" w14:textId="77777777" w:rsidR="001417A3" w:rsidRDefault="001417A3" w:rsidP="0014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01BE9" w14:textId="77777777" w:rsidR="001417A3" w:rsidRDefault="001417A3" w:rsidP="001417A3">
      <w:pPr>
        <w:spacing w:after="0" w:line="240" w:lineRule="auto"/>
      </w:pPr>
      <w:r>
        <w:separator/>
      </w:r>
    </w:p>
  </w:footnote>
  <w:footnote w:type="continuationSeparator" w:id="0">
    <w:p w14:paraId="2FBBD46F" w14:textId="77777777" w:rsidR="001417A3" w:rsidRDefault="001417A3" w:rsidP="00141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85A6D"/>
    <w:multiLevelType w:val="hybridMultilevel"/>
    <w:tmpl w:val="A406F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21DD4"/>
    <w:multiLevelType w:val="hybridMultilevel"/>
    <w:tmpl w:val="D6D08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516826">
    <w:abstractNumId w:val="1"/>
  </w:num>
  <w:num w:numId="2" w16cid:durableId="181622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BA"/>
    <w:rsid w:val="00056114"/>
    <w:rsid w:val="00060C4B"/>
    <w:rsid w:val="00064C0D"/>
    <w:rsid w:val="0008642A"/>
    <w:rsid w:val="00104F2F"/>
    <w:rsid w:val="00122F19"/>
    <w:rsid w:val="001417A3"/>
    <w:rsid w:val="001831D1"/>
    <w:rsid w:val="00190FD9"/>
    <w:rsid w:val="001C78CD"/>
    <w:rsid w:val="00224796"/>
    <w:rsid w:val="002F4E79"/>
    <w:rsid w:val="003542DC"/>
    <w:rsid w:val="003A594E"/>
    <w:rsid w:val="003F0B76"/>
    <w:rsid w:val="00450D85"/>
    <w:rsid w:val="004512BF"/>
    <w:rsid w:val="004516A1"/>
    <w:rsid w:val="004D638B"/>
    <w:rsid w:val="00592DE2"/>
    <w:rsid w:val="005C71C5"/>
    <w:rsid w:val="0064489A"/>
    <w:rsid w:val="00671156"/>
    <w:rsid w:val="006848F2"/>
    <w:rsid w:val="007822BD"/>
    <w:rsid w:val="0079362B"/>
    <w:rsid w:val="007E2938"/>
    <w:rsid w:val="00872FE9"/>
    <w:rsid w:val="008A7315"/>
    <w:rsid w:val="00904F40"/>
    <w:rsid w:val="009962BA"/>
    <w:rsid w:val="009B4198"/>
    <w:rsid w:val="00A27ABD"/>
    <w:rsid w:val="00A4610F"/>
    <w:rsid w:val="00A641E0"/>
    <w:rsid w:val="00B050B9"/>
    <w:rsid w:val="00B21575"/>
    <w:rsid w:val="00B56684"/>
    <w:rsid w:val="00B61EF8"/>
    <w:rsid w:val="00B9703B"/>
    <w:rsid w:val="00BD5EA0"/>
    <w:rsid w:val="00C63F5D"/>
    <w:rsid w:val="00CE29DA"/>
    <w:rsid w:val="00D020B3"/>
    <w:rsid w:val="00D46BA2"/>
    <w:rsid w:val="00D475C1"/>
    <w:rsid w:val="00DD6A3E"/>
    <w:rsid w:val="00E1746D"/>
    <w:rsid w:val="00EE4435"/>
    <w:rsid w:val="00F36EFF"/>
    <w:rsid w:val="00F52451"/>
    <w:rsid w:val="00F55E50"/>
    <w:rsid w:val="00F600B0"/>
    <w:rsid w:val="00FB0D6C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6814"/>
  <w15:chartTrackingRefBased/>
  <w15:docId w15:val="{E2D70210-C592-44C3-AE03-BDB7CCE4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7A3"/>
  </w:style>
  <w:style w:type="paragraph" w:styleId="Footer">
    <w:name w:val="footer"/>
    <w:basedOn w:val="Normal"/>
    <w:link w:val="FooterChar"/>
    <w:uiPriority w:val="99"/>
    <w:unhideWhenUsed/>
    <w:rsid w:val="00141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d017b-ad1d-4643-ab96-a143b0c8ff71">
      <Terms xmlns="http://schemas.microsoft.com/office/infopath/2007/PartnerControls"/>
    </lcf76f155ced4ddcb4097134ff3c332f>
    <TaxCatchAll xmlns="f7fee1bf-3612-4bb6-9bc2-9d67c4123e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00B319AAC834FB7D1E90C461AEB5A" ma:contentTypeVersion="15" ma:contentTypeDescription="Create a new document." ma:contentTypeScope="" ma:versionID="51d4508e5d92b89dd4b87ea414246177">
  <xsd:schema xmlns:xsd="http://www.w3.org/2001/XMLSchema" xmlns:xs="http://www.w3.org/2001/XMLSchema" xmlns:p="http://schemas.microsoft.com/office/2006/metadata/properties" xmlns:ns2="a34d017b-ad1d-4643-ab96-a143b0c8ff71" xmlns:ns3="f7fee1bf-3612-4bb6-9bc2-9d67c4123e0a" targetNamespace="http://schemas.microsoft.com/office/2006/metadata/properties" ma:root="true" ma:fieldsID="467b117c7a053df03d92c5396ba7353d" ns2:_="" ns3:_="">
    <xsd:import namespace="a34d017b-ad1d-4643-ab96-a143b0c8ff71"/>
    <xsd:import namespace="f7fee1bf-3612-4bb6-9bc2-9d67c4123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017b-ad1d-4643-ab96-a143b0c8f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3cb4caa-8f6e-464f-a368-4cca593f3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ee1bf-3612-4bb6-9bc2-9d67c4123e0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8b61ab-130c-45fc-9b4a-326fdf2e6f34}" ma:internalName="TaxCatchAll" ma:showField="CatchAllData" ma:web="f7fee1bf-3612-4bb6-9bc2-9d67c4123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8E91C-658B-418E-B2B4-C35418A8BF1E}">
  <ds:schemaRefs>
    <ds:schemaRef ds:uri="http://schemas.microsoft.com/office/2006/metadata/properties"/>
    <ds:schemaRef ds:uri="http://schemas.microsoft.com/office/infopath/2007/PartnerControls"/>
    <ds:schemaRef ds:uri="a34d017b-ad1d-4643-ab96-a143b0c8ff71"/>
    <ds:schemaRef ds:uri="f7fee1bf-3612-4bb6-9bc2-9d67c4123e0a"/>
  </ds:schemaRefs>
</ds:datastoreItem>
</file>

<file path=customXml/itemProps2.xml><?xml version="1.0" encoding="utf-8"?>
<ds:datastoreItem xmlns:ds="http://schemas.openxmlformats.org/officeDocument/2006/customXml" ds:itemID="{12FAD006-7471-4812-881D-75E9D3B88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6C141-D8A2-4849-9599-89077EECE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d017b-ad1d-4643-ab96-a143b0c8ff71"/>
    <ds:schemaRef ds:uri="f7fee1bf-3612-4bb6-9bc2-9d67c4123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Simpson</dc:creator>
  <cp:keywords/>
  <dc:description/>
  <cp:lastModifiedBy>Clerk</cp:lastModifiedBy>
  <cp:revision>2</cp:revision>
  <dcterms:created xsi:type="dcterms:W3CDTF">2024-12-19T12:35:00Z</dcterms:created>
  <dcterms:modified xsi:type="dcterms:W3CDTF">2024-12-19T12:35:00Z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0x01010089A00B319AAC834FB7D1E90C461AEB5A</vt:lpwstr>
  </property>
</Properties>
</file>