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3DACF" w14:textId="77777777" w:rsidR="00C267C6" w:rsidRPr="00AC43E4" w:rsidRDefault="00002286" w:rsidP="005947FA">
      <w:pPr>
        <w:rPr>
          <w:rFonts w:ascii="Arial" w:hAnsi="Arial" w:cs="Arial"/>
          <w:bCs/>
        </w:rPr>
        <w:sectPr w:rsidR="00C267C6" w:rsidRPr="00AC43E4" w:rsidSect="0071414F">
          <w:type w:val="continuous"/>
          <w:pgSz w:w="11906" w:h="16838"/>
          <w:pgMar w:top="426" w:right="849" w:bottom="709" w:left="1440" w:header="964" w:footer="708" w:gutter="0"/>
          <w:pgNumType w:start="1"/>
          <w:cols w:space="708"/>
          <w:docGrid w:linePitch="360"/>
        </w:sectPr>
      </w:pPr>
      <w:r>
        <w:rPr>
          <w:rFonts w:ascii="Arial" w:hAnsi="Arial" w:cs="Arial"/>
          <w:b/>
          <w:noProof/>
          <w:sz w:val="28"/>
          <w:szCs w:val="28"/>
          <w:lang w:eastAsia="en-GB"/>
        </w:rPr>
        <w:drawing>
          <wp:anchor distT="0" distB="0" distL="114300" distR="114300" simplePos="0" relativeHeight="251658240" behindDoc="0" locked="0" layoutInCell="1" allowOverlap="1" wp14:anchorId="64C3DB0B" wp14:editId="64C3DB0C">
            <wp:simplePos x="0" y="0"/>
            <wp:positionH relativeFrom="column">
              <wp:posOffset>5121910</wp:posOffset>
            </wp:positionH>
            <wp:positionV relativeFrom="paragraph">
              <wp:posOffset>0</wp:posOffset>
            </wp:positionV>
            <wp:extent cx="908050" cy="908050"/>
            <wp:effectExtent l="0" t="0" r="6350" b="6350"/>
            <wp:wrapSquare wrapText="bothSides"/>
            <wp:docPr id="2" name="Picture 2" descr="Nett CMYK log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tt CMYK logo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8050" cy="908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C3DAD0" w14:textId="77777777" w:rsidR="00002286" w:rsidRDefault="00002286" w:rsidP="00002286">
      <w:pPr>
        <w:ind w:left="1440" w:firstLine="720"/>
        <w:rPr>
          <w:rFonts w:ascii="Arial" w:hAnsi="Arial" w:cs="Arial"/>
          <w:b/>
          <w:sz w:val="28"/>
          <w:szCs w:val="28"/>
        </w:rPr>
      </w:pPr>
      <w:r>
        <w:rPr>
          <w:rFonts w:ascii="Arial" w:hAnsi="Arial" w:cs="Arial"/>
          <w:b/>
          <w:sz w:val="28"/>
          <w:szCs w:val="28"/>
        </w:rPr>
        <w:t xml:space="preserve">    NETTLEHAM PARISH COUNCIL</w:t>
      </w:r>
      <w:r>
        <w:rPr>
          <w:rFonts w:ascii="Arial" w:hAnsi="Arial" w:cs="Arial"/>
          <w:b/>
          <w:sz w:val="28"/>
          <w:szCs w:val="28"/>
        </w:rPr>
        <w:tab/>
      </w:r>
    </w:p>
    <w:p w14:paraId="64C3DAD1" w14:textId="77777777" w:rsidR="000D2FE6" w:rsidRPr="000D2FE6" w:rsidRDefault="00002286" w:rsidP="000D2FE6">
      <w:pPr>
        <w:rPr>
          <w:rFonts w:ascii="Arial" w:hAnsi="Arial" w:cs="Arial"/>
          <w:b/>
          <w:sz w:val="28"/>
          <w:szCs w:val="28"/>
        </w:rPr>
      </w:pPr>
      <w:r>
        <w:rPr>
          <w:rFonts w:ascii="Arial" w:hAnsi="Arial" w:cs="Arial"/>
          <w:b/>
          <w:sz w:val="28"/>
          <w:szCs w:val="28"/>
        </w:rPr>
        <w:t xml:space="preserve">                                  </w:t>
      </w:r>
      <w:r w:rsidR="00203669">
        <w:rPr>
          <w:rFonts w:ascii="Arial" w:hAnsi="Arial" w:cs="Arial"/>
          <w:b/>
          <w:sz w:val="28"/>
          <w:szCs w:val="28"/>
        </w:rPr>
        <w:t>WHISTLEBLOWING</w:t>
      </w:r>
      <w:r>
        <w:rPr>
          <w:rFonts w:ascii="Arial" w:hAnsi="Arial" w:cs="Arial"/>
          <w:b/>
          <w:sz w:val="28"/>
          <w:szCs w:val="28"/>
        </w:rPr>
        <w:t xml:space="preserve"> POLICY</w:t>
      </w:r>
    </w:p>
    <w:p w14:paraId="64C3DAD2" w14:textId="77777777" w:rsidR="000D2FE6" w:rsidRPr="00837ECB" w:rsidRDefault="000D2FE6" w:rsidP="00CB7705">
      <w:pPr>
        <w:pStyle w:val="NoSpacing"/>
        <w:jc w:val="both"/>
        <w:rPr>
          <w:rFonts w:ascii="Arial" w:hAnsi="Arial" w:cs="Arial"/>
          <w:b/>
          <w:sz w:val="28"/>
          <w:szCs w:val="28"/>
        </w:rPr>
      </w:pPr>
      <w:r w:rsidRPr="00837ECB">
        <w:rPr>
          <w:rFonts w:ascii="Arial" w:hAnsi="Arial" w:cs="Arial"/>
          <w:b/>
          <w:sz w:val="28"/>
          <w:szCs w:val="28"/>
        </w:rPr>
        <w:t>Background</w:t>
      </w:r>
    </w:p>
    <w:p w14:paraId="64C3DAD3" w14:textId="77777777" w:rsidR="000D2FE6" w:rsidRPr="00CB7705" w:rsidRDefault="000D2FE6" w:rsidP="00CB7705">
      <w:pPr>
        <w:pStyle w:val="NoSpacing"/>
        <w:jc w:val="both"/>
        <w:rPr>
          <w:rFonts w:ascii="Arial" w:hAnsi="Arial" w:cs="Arial"/>
        </w:rPr>
      </w:pPr>
      <w:r w:rsidRPr="00CB7705">
        <w:rPr>
          <w:rFonts w:ascii="Arial" w:hAnsi="Arial" w:cs="Arial"/>
        </w:rPr>
        <w:t>The Public Interest Disclosure Act 1998 amended the Employment Rights Act 1996 to provide protection for workers who raise legitimate concerns about specified matters in the public interest. These are called "qualifying disclosures". A qualifying disclosure is one made by an employee who has a reasonable belief that</w:t>
      </w:r>
      <w:r w:rsidR="00CB7705">
        <w:rPr>
          <w:rFonts w:ascii="Arial" w:hAnsi="Arial" w:cs="Arial"/>
        </w:rPr>
        <w:t xml:space="preserve"> the following have </w:t>
      </w:r>
      <w:proofErr w:type="spellStart"/>
      <w:r w:rsidR="00CB7705">
        <w:rPr>
          <w:rFonts w:ascii="Arial" w:hAnsi="Arial" w:cs="Arial"/>
        </w:rPr>
        <w:t>occured</w:t>
      </w:r>
      <w:proofErr w:type="spellEnd"/>
      <w:r w:rsidRPr="00CB7705">
        <w:rPr>
          <w:rFonts w:ascii="Arial" w:hAnsi="Arial" w:cs="Arial"/>
        </w:rPr>
        <w:t>:</w:t>
      </w:r>
    </w:p>
    <w:p w14:paraId="64C3DAD4" w14:textId="77777777" w:rsidR="000D2FE6" w:rsidRPr="00CB7705" w:rsidRDefault="000D2FE6" w:rsidP="00CB7705">
      <w:pPr>
        <w:numPr>
          <w:ilvl w:val="0"/>
          <w:numId w:val="35"/>
        </w:numPr>
        <w:spacing w:after="0" w:line="240" w:lineRule="auto"/>
        <w:ind w:left="851" w:hanging="284"/>
        <w:jc w:val="both"/>
        <w:rPr>
          <w:rFonts w:ascii="Arial" w:eastAsia="Times New Roman" w:hAnsi="Arial" w:cs="Arial"/>
          <w:lang w:eastAsia="en-GB"/>
        </w:rPr>
      </w:pPr>
      <w:r w:rsidRPr="00CB7705">
        <w:rPr>
          <w:rFonts w:ascii="Arial" w:eastAsia="Times New Roman" w:hAnsi="Arial" w:cs="Arial"/>
          <w:lang w:eastAsia="en-GB"/>
        </w:rPr>
        <w:t>Criminal offences</w:t>
      </w:r>
    </w:p>
    <w:p w14:paraId="64C3DAD5" w14:textId="77777777" w:rsidR="000D2FE6" w:rsidRPr="00CB7705" w:rsidRDefault="000D2FE6" w:rsidP="00CB7705">
      <w:pPr>
        <w:numPr>
          <w:ilvl w:val="0"/>
          <w:numId w:val="35"/>
        </w:numPr>
        <w:spacing w:after="0" w:line="240" w:lineRule="auto"/>
        <w:ind w:left="851" w:hanging="284"/>
        <w:jc w:val="both"/>
        <w:rPr>
          <w:rFonts w:ascii="Arial" w:eastAsia="Times New Roman" w:hAnsi="Arial" w:cs="Arial"/>
          <w:lang w:eastAsia="en-GB"/>
        </w:rPr>
      </w:pPr>
      <w:r w:rsidRPr="00CB7705">
        <w:rPr>
          <w:rFonts w:ascii="Arial" w:eastAsia="Times New Roman" w:hAnsi="Arial" w:cs="Arial"/>
          <w:lang w:eastAsia="en-GB"/>
        </w:rPr>
        <w:t>Miscarriages of justice.</w:t>
      </w:r>
    </w:p>
    <w:p w14:paraId="64C3DAD6" w14:textId="77777777" w:rsidR="000D2FE6" w:rsidRPr="00CB7705" w:rsidRDefault="000D2FE6" w:rsidP="00CB7705">
      <w:pPr>
        <w:numPr>
          <w:ilvl w:val="0"/>
          <w:numId w:val="35"/>
        </w:numPr>
        <w:spacing w:after="0" w:line="240" w:lineRule="auto"/>
        <w:ind w:left="851" w:hanging="284"/>
        <w:jc w:val="both"/>
        <w:rPr>
          <w:rFonts w:ascii="Arial" w:eastAsia="Times New Roman" w:hAnsi="Arial" w:cs="Arial"/>
          <w:lang w:eastAsia="en-GB"/>
        </w:rPr>
      </w:pPr>
      <w:r w:rsidRPr="00CB7705">
        <w:rPr>
          <w:rFonts w:ascii="Arial" w:eastAsia="Times New Roman" w:hAnsi="Arial" w:cs="Arial"/>
          <w:lang w:eastAsia="en-GB"/>
        </w:rPr>
        <w:t>Dangers to health and safety</w:t>
      </w:r>
    </w:p>
    <w:p w14:paraId="64C3DAD7" w14:textId="77777777" w:rsidR="000D2FE6" w:rsidRPr="00CB7705" w:rsidRDefault="000D2FE6" w:rsidP="00CB7705">
      <w:pPr>
        <w:numPr>
          <w:ilvl w:val="0"/>
          <w:numId w:val="35"/>
        </w:numPr>
        <w:spacing w:after="0" w:line="240" w:lineRule="auto"/>
        <w:ind w:left="851" w:hanging="284"/>
        <w:jc w:val="both"/>
        <w:rPr>
          <w:rFonts w:ascii="Arial" w:eastAsia="Times New Roman" w:hAnsi="Arial" w:cs="Arial"/>
          <w:lang w:eastAsia="en-GB"/>
        </w:rPr>
      </w:pPr>
      <w:r w:rsidRPr="00CB7705">
        <w:rPr>
          <w:rFonts w:ascii="Arial" w:eastAsia="Times New Roman" w:hAnsi="Arial" w:cs="Arial"/>
          <w:lang w:eastAsia="en-GB"/>
        </w:rPr>
        <w:t>Damage to the environment.</w:t>
      </w:r>
    </w:p>
    <w:p w14:paraId="64C3DAD8" w14:textId="77777777" w:rsidR="000D2FE6" w:rsidRPr="00CB7705" w:rsidRDefault="000D2FE6" w:rsidP="00CB7705">
      <w:pPr>
        <w:numPr>
          <w:ilvl w:val="0"/>
          <w:numId w:val="35"/>
        </w:numPr>
        <w:spacing w:after="0" w:line="240" w:lineRule="auto"/>
        <w:ind w:left="851" w:hanging="284"/>
        <w:jc w:val="both"/>
        <w:rPr>
          <w:rFonts w:ascii="Arial" w:eastAsia="Times New Roman" w:hAnsi="Arial" w:cs="Arial"/>
          <w:lang w:eastAsia="en-GB"/>
        </w:rPr>
      </w:pPr>
      <w:r w:rsidRPr="00CB7705">
        <w:rPr>
          <w:rFonts w:ascii="Arial" w:eastAsia="Times New Roman" w:hAnsi="Arial" w:cs="Arial"/>
          <w:lang w:eastAsia="en-GB"/>
        </w:rPr>
        <w:t>Breaches of any legal and / or statutory obligations</w:t>
      </w:r>
    </w:p>
    <w:p w14:paraId="64C3DAD9" w14:textId="77777777" w:rsidR="000D2FE6" w:rsidRPr="00CB7705" w:rsidRDefault="000D2FE6" w:rsidP="00CB7705">
      <w:pPr>
        <w:numPr>
          <w:ilvl w:val="0"/>
          <w:numId w:val="35"/>
        </w:numPr>
        <w:spacing w:after="0" w:line="240" w:lineRule="auto"/>
        <w:ind w:left="851" w:hanging="284"/>
        <w:jc w:val="both"/>
        <w:rPr>
          <w:rFonts w:ascii="Arial" w:eastAsia="Times New Roman" w:hAnsi="Arial" w:cs="Arial"/>
          <w:lang w:eastAsia="en-GB"/>
        </w:rPr>
      </w:pPr>
      <w:r w:rsidRPr="00CB7705">
        <w:rPr>
          <w:rFonts w:ascii="Arial" w:eastAsia="Times New Roman" w:hAnsi="Arial" w:cs="Arial"/>
          <w:lang w:eastAsia="en-GB"/>
        </w:rPr>
        <w:t>Deliberately concealing any of the above.</w:t>
      </w:r>
    </w:p>
    <w:p w14:paraId="64C3DADA" w14:textId="77777777" w:rsidR="000D2FE6" w:rsidRPr="00CB7705" w:rsidRDefault="000D2FE6" w:rsidP="00CB7705">
      <w:pPr>
        <w:pStyle w:val="NoSpacing"/>
        <w:jc w:val="both"/>
        <w:rPr>
          <w:rFonts w:ascii="Arial" w:hAnsi="Arial" w:cs="Arial"/>
          <w:b/>
        </w:rPr>
      </w:pPr>
    </w:p>
    <w:p w14:paraId="64C3DADB" w14:textId="77777777" w:rsidR="00DD71A4" w:rsidRPr="00837ECB" w:rsidRDefault="00203669" w:rsidP="00CB7705">
      <w:pPr>
        <w:pStyle w:val="NoSpacing"/>
        <w:jc w:val="both"/>
        <w:rPr>
          <w:rFonts w:ascii="Arial" w:hAnsi="Arial" w:cs="Arial"/>
          <w:b/>
          <w:sz w:val="28"/>
          <w:szCs w:val="28"/>
        </w:rPr>
      </w:pPr>
      <w:r w:rsidRPr="00837ECB">
        <w:rPr>
          <w:rFonts w:ascii="Arial" w:hAnsi="Arial" w:cs="Arial"/>
          <w:b/>
          <w:sz w:val="28"/>
          <w:szCs w:val="28"/>
        </w:rPr>
        <w:t>Policy</w:t>
      </w:r>
    </w:p>
    <w:p w14:paraId="64C3DADC" w14:textId="77777777" w:rsidR="000D2FE6" w:rsidRPr="00CB7705" w:rsidRDefault="000D2FE6" w:rsidP="00CB7705">
      <w:pPr>
        <w:spacing w:after="0" w:line="240" w:lineRule="auto"/>
        <w:jc w:val="both"/>
        <w:rPr>
          <w:rFonts w:ascii="Arial" w:eastAsia="Times New Roman" w:hAnsi="Arial" w:cs="Arial"/>
          <w:lang w:eastAsia="en-GB"/>
        </w:rPr>
      </w:pPr>
      <w:r w:rsidRPr="00CB7705">
        <w:rPr>
          <w:rFonts w:ascii="Arial" w:eastAsia="Times New Roman" w:hAnsi="Arial" w:cs="Arial"/>
          <w:lang w:eastAsia="en-GB"/>
        </w:rPr>
        <w:t>All Councils face the risk of things going wrong or unknowingly harbouring malpractice.  The Council believes it has a duty to identify such situations and take the appropriate measures to remedy the situation.  By encouraging a culture of openness within the Council, it is hoped that such problems can be prevented.</w:t>
      </w:r>
    </w:p>
    <w:p w14:paraId="64C3DADD" w14:textId="77777777" w:rsidR="0002394E" w:rsidRPr="00CB7705" w:rsidRDefault="0002394E" w:rsidP="00CB7705">
      <w:pPr>
        <w:spacing w:after="0" w:line="240" w:lineRule="auto"/>
        <w:jc w:val="both"/>
        <w:rPr>
          <w:rFonts w:ascii="Arial" w:hAnsi="Arial" w:cs="Arial"/>
        </w:rPr>
      </w:pPr>
    </w:p>
    <w:p w14:paraId="64C3DADE" w14:textId="77777777" w:rsidR="00203669" w:rsidRPr="00CB7705" w:rsidRDefault="00203669" w:rsidP="00CB7705">
      <w:pPr>
        <w:spacing w:after="0" w:line="240" w:lineRule="auto"/>
        <w:jc w:val="both"/>
        <w:rPr>
          <w:rFonts w:ascii="Arial" w:hAnsi="Arial" w:cs="Arial"/>
        </w:rPr>
      </w:pPr>
      <w:r w:rsidRPr="00CB7705">
        <w:rPr>
          <w:rFonts w:ascii="Arial" w:hAnsi="Arial" w:cs="Arial"/>
        </w:rPr>
        <w:t>This policy</w:t>
      </w:r>
      <w:r w:rsidR="0002394E" w:rsidRPr="00CB7705">
        <w:rPr>
          <w:rFonts w:ascii="Arial" w:eastAsia="Times New Roman" w:hAnsi="Arial" w:cs="Arial"/>
          <w:lang w:eastAsia="en-GB"/>
        </w:rPr>
        <w:t xml:space="preserve"> applies to all Employees of the Council and other workers including temporary, subc</w:t>
      </w:r>
      <w:r w:rsidR="009A2F36" w:rsidRPr="00CB7705">
        <w:rPr>
          <w:rFonts w:ascii="Arial" w:eastAsia="Times New Roman" w:hAnsi="Arial" w:cs="Arial"/>
          <w:lang w:eastAsia="en-GB"/>
        </w:rPr>
        <w:t xml:space="preserve">ontracted and agency workers.  It also </w:t>
      </w:r>
      <w:r w:rsidRPr="00CB7705">
        <w:rPr>
          <w:rFonts w:ascii="Arial" w:hAnsi="Arial" w:cs="Arial"/>
        </w:rPr>
        <w:t>sets out the way in which individuals may raise any concerns that they have and how those concerns will be dealt with.</w:t>
      </w:r>
    </w:p>
    <w:p w14:paraId="64C3DADF" w14:textId="77777777" w:rsidR="0002394E" w:rsidRPr="00CB7705" w:rsidRDefault="0002394E" w:rsidP="00CB7705">
      <w:pPr>
        <w:spacing w:after="0" w:line="240" w:lineRule="auto"/>
        <w:jc w:val="both"/>
        <w:rPr>
          <w:rFonts w:ascii="Arial" w:hAnsi="Arial" w:cs="Arial"/>
        </w:rPr>
      </w:pPr>
    </w:p>
    <w:p w14:paraId="64C3DAE0" w14:textId="77777777" w:rsidR="009A2F36" w:rsidRPr="00CB7705" w:rsidRDefault="0002394E" w:rsidP="00CB7705">
      <w:pPr>
        <w:spacing w:after="0" w:line="240" w:lineRule="auto"/>
        <w:jc w:val="both"/>
        <w:rPr>
          <w:rFonts w:ascii="Arial" w:eastAsia="Times New Roman" w:hAnsi="Arial" w:cs="Arial"/>
          <w:lang w:eastAsia="en-GB"/>
        </w:rPr>
      </w:pPr>
      <w:r w:rsidRPr="00CB7705">
        <w:rPr>
          <w:rFonts w:ascii="Arial" w:eastAsia="Times New Roman" w:hAnsi="Arial" w:cs="Arial"/>
          <w:lang w:eastAsia="en-GB"/>
        </w:rPr>
        <w:t xml:space="preserve">By encouraging a culture of openness, the Council wants to encourage Employees and workers to raise issues which concern them at work.  They may be concerned that by reporting such issues they may be exposing themselves to detrimental treatment or risking their job security.  This is not the case.  All staff have statutory protection if they raise appropriate concerns in the right way.  </w:t>
      </w:r>
    </w:p>
    <w:p w14:paraId="64C3DAE1" w14:textId="77777777" w:rsidR="009A2F36" w:rsidRPr="00CB7705" w:rsidRDefault="009A2F36" w:rsidP="00CB7705">
      <w:pPr>
        <w:spacing w:after="0" w:line="240" w:lineRule="auto"/>
        <w:jc w:val="both"/>
        <w:rPr>
          <w:rFonts w:ascii="Arial" w:eastAsia="Times New Roman" w:hAnsi="Arial" w:cs="Arial"/>
          <w:lang w:eastAsia="en-GB"/>
        </w:rPr>
      </w:pPr>
    </w:p>
    <w:p w14:paraId="64C3DAE2" w14:textId="77777777" w:rsidR="0002394E" w:rsidRPr="00CB7705" w:rsidRDefault="0002394E" w:rsidP="00CB7705">
      <w:pPr>
        <w:spacing w:after="0" w:line="240" w:lineRule="auto"/>
        <w:jc w:val="both"/>
        <w:rPr>
          <w:rFonts w:ascii="Arial" w:eastAsia="Times New Roman" w:hAnsi="Arial" w:cs="Arial"/>
          <w:lang w:eastAsia="en-GB"/>
        </w:rPr>
      </w:pPr>
      <w:r w:rsidRPr="00CB7705">
        <w:rPr>
          <w:rFonts w:ascii="Arial" w:eastAsia="Times New Roman" w:hAnsi="Arial" w:cs="Arial"/>
          <w:lang w:eastAsia="en-GB"/>
        </w:rPr>
        <w:t>This policy is designed to give staff that opportunity and protection.  Providing they are acting in good faith it does not matter if they are mistaken.  There is no question of Employees having to prove anything about the allegation they are making, but they must reasonably believe that the information they have implies acts which fall under this policy.</w:t>
      </w:r>
    </w:p>
    <w:p w14:paraId="64C3DAE3" w14:textId="77777777" w:rsidR="0002394E" w:rsidRPr="00CB7705" w:rsidRDefault="0002394E" w:rsidP="00CB7705">
      <w:pPr>
        <w:spacing w:after="0" w:line="240" w:lineRule="auto"/>
        <w:jc w:val="both"/>
        <w:rPr>
          <w:rFonts w:ascii="Arial" w:eastAsia="Times New Roman" w:hAnsi="Arial" w:cs="Arial"/>
          <w:lang w:eastAsia="en-GB"/>
        </w:rPr>
      </w:pPr>
    </w:p>
    <w:p w14:paraId="64C3DAE4" w14:textId="77777777" w:rsidR="0002394E" w:rsidRPr="00CB7705" w:rsidRDefault="0002394E" w:rsidP="00CB7705">
      <w:pPr>
        <w:spacing w:after="0" w:line="240" w:lineRule="auto"/>
        <w:jc w:val="both"/>
        <w:rPr>
          <w:rFonts w:ascii="Arial" w:eastAsia="Times New Roman" w:hAnsi="Arial" w:cs="Arial"/>
          <w:lang w:eastAsia="en-GB"/>
        </w:rPr>
      </w:pPr>
      <w:r w:rsidRPr="00CB7705">
        <w:rPr>
          <w:rFonts w:ascii="Arial" w:eastAsia="Times New Roman" w:hAnsi="Arial" w:cs="Arial"/>
          <w:lang w:eastAsia="en-GB"/>
        </w:rPr>
        <w:t xml:space="preserve">If there is anything which Employees think the Council should know about, they should use the procedure outlined in this policy.  By knowing about appropriate issues at an early stage, the Council has a good chance of taking the necessary steps to safeguard the interests of all who are involved with and have a legitimate interest in its activities.  </w:t>
      </w:r>
    </w:p>
    <w:p w14:paraId="64C3DAE5" w14:textId="77777777" w:rsidR="0002394E" w:rsidRPr="00CB7705" w:rsidRDefault="0002394E" w:rsidP="00CB7705">
      <w:pPr>
        <w:spacing w:after="0" w:line="240" w:lineRule="auto"/>
        <w:jc w:val="both"/>
        <w:rPr>
          <w:rFonts w:ascii="Arial" w:eastAsia="Times New Roman" w:hAnsi="Arial" w:cs="Arial"/>
          <w:lang w:eastAsia="en-GB"/>
        </w:rPr>
      </w:pPr>
    </w:p>
    <w:p w14:paraId="64C3DAE6" w14:textId="77777777" w:rsidR="0002394E" w:rsidRPr="00837ECB" w:rsidRDefault="0002394E" w:rsidP="00CB7705">
      <w:pPr>
        <w:spacing w:after="0" w:line="240" w:lineRule="auto"/>
        <w:jc w:val="both"/>
        <w:rPr>
          <w:rFonts w:ascii="Arial" w:eastAsia="Times New Roman" w:hAnsi="Arial" w:cs="Arial"/>
          <w:b/>
          <w:sz w:val="28"/>
          <w:szCs w:val="28"/>
          <w:lang w:eastAsia="en-GB"/>
        </w:rPr>
      </w:pPr>
      <w:r w:rsidRPr="00837ECB">
        <w:rPr>
          <w:rFonts w:ascii="Arial" w:eastAsia="Times New Roman" w:hAnsi="Arial" w:cs="Arial"/>
          <w:b/>
          <w:sz w:val="28"/>
          <w:szCs w:val="28"/>
          <w:lang w:eastAsia="en-GB"/>
        </w:rPr>
        <w:t>The Council’s Guarantee</w:t>
      </w:r>
    </w:p>
    <w:p w14:paraId="64C3DAE7" w14:textId="77777777" w:rsidR="0002394E" w:rsidRPr="00CB7705" w:rsidRDefault="0002394E" w:rsidP="00CB7705">
      <w:pPr>
        <w:spacing w:after="0" w:line="240" w:lineRule="auto"/>
        <w:jc w:val="both"/>
        <w:rPr>
          <w:rFonts w:ascii="Arial" w:eastAsia="Times New Roman" w:hAnsi="Arial" w:cs="Arial"/>
          <w:lang w:eastAsia="en-GB"/>
        </w:rPr>
      </w:pPr>
      <w:r w:rsidRPr="00CB7705">
        <w:rPr>
          <w:rFonts w:ascii="Arial" w:eastAsia="Times New Roman" w:hAnsi="Arial" w:cs="Arial"/>
          <w:lang w:eastAsia="en-GB"/>
        </w:rPr>
        <w:t xml:space="preserve">The Council is committed to this policy.  If an Employee uses this policy to raise a concern in good faith, the Council gives them its assurance that they will not suffer any form of retribution or detrimental treatment.  </w:t>
      </w:r>
    </w:p>
    <w:p w14:paraId="64C3DAE8" w14:textId="77777777" w:rsidR="0002394E" w:rsidRPr="00CB7705" w:rsidRDefault="0002394E" w:rsidP="00CB7705">
      <w:pPr>
        <w:spacing w:after="0" w:line="240" w:lineRule="auto"/>
        <w:jc w:val="both"/>
        <w:rPr>
          <w:rFonts w:ascii="Arial" w:eastAsia="Times New Roman" w:hAnsi="Arial" w:cs="Arial"/>
          <w:lang w:eastAsia="en-GB"/>
        </w:rPr>
      </w:pPr>
    </w:p>
    <w:p w14:paraId="64C3DAE9" w14:textId="77777777" w:rsidR="0002394E" w:rsidRPr="00CB7705" w:rsidRDefault="0002394E" w:rsidP="00CB7705">
      <w:pPr>
        <w:spacing w:after="0" w:line="240" w:lineRule="auto"/>
        <w:jc w:val="both"/>
        <w:rPr>
          <w:rFonts w:ascii="Arial" w:eastAsia="Times New Roman" w:hAnsi="Arial" w:cs="Arial"/>
          <w:lang w:eastAsia="en-GB"/>
        </w:rPr>
      </w:pPr>
      <w:r w:rsidRPr="00CB7705">
        <w:rPr>
          <w:rFonts w:ascii="Arial" w:eastAsia="Times New Roman" w:hAnsi="Arial" w:cs="Arial"/>
          <w:lang w:eastAsia="en-GB"/>
        </w:rPr>
        <w:t>The Council will treat their concern seriously and act according to this policy.  They will not be asked to provide anything about the allegation they raise, but they must reasonably believe that the information they have tends to show some malpractice.  If an Employee asks for a matter to be treated in confidence, the Council will respect their request.</w:t>
      </w:r>
    </w:p>
    <w:p w14:paraId="64C3DAEA" w14:textId="77777777" w:rsidR="0071414F" w:rsidRPr="00CB7705" w:rsidRDefault="0071414F" w:rsidP="00CB7705">
      <w:pPr>
        <w:spacing w:after="0" w:line="240" w:lineRule="auto"/>
        <w:jc w:val="both"/>
        <w:rPr>
          <w:rFonts w:ascii="Arial" w:eastAsia="Times New Roman" w:hAnsi="Arial" w:cs="Arial"/>
          <w:lang w:eastAsia="en-GB"/>
        </w:rPr>
      </w:pPr>
    </w:p>
    <w:p w14:paraId="64C3DAEB" w14:textId="77777777" w:rsidR="0071414F" w:rsidRPr="00837ECB" w:rsidRDefault="0071414F" w:rsidP="00CB7705">
      <w:pPr>
        <w:spacing w:after="0" w:line="240" w:lineRule="auto"/>
        <w:jc w:val="both"/>
        <w:rPr>
          <w:rFonts w:ascii="Arial" w:eastAsia="Times New Roman" w:hAnsi="Arial" w:cs="Arial"/>
          <w:b/>
          <w:sz w:val="28"/>
          <w:szCs w:val="28"/>
          <w:lang w:eastAsia="en-GB"/>
        </w:rPr>
      </w:pPr>
      <w:r w:rsidRPr="00837ECB">
        <w:rPr>
          <w:rFonts w:ascii="Arial" w:eastAsia="Times New Roman" w:hAnsi="Arial" w:cs="Arial"/>
          <w:b/>
          <w:sz w:val="28"/>
          <w:szCs w:val="28"/>
          <w:lang w:eastAsia="en-GB"/>
        </w:rPr>
        <w:t>Procedure</w:t>
      </w:r>
    </w:p>
    <w:p w14:paraId="64C3DAEC" w14:textId="77777777" w:rsidR="0071414F" w:rsidRPr="00CB7705" w:rsidRDefault="0071414F" w:rsidP="00CB7705">
      <w:pPr>
        <w:pStyle w:val="NoSpacing"/>
        <w:jc w:val="both"/>
        <w:rPr>
          <w:rFonts w:ascii="Arial" w:hAnsi="Arial" w:cs="Arial"/>
        </w:rPr>
      </w:pPr>
      <w:r w:rsidRPr="00CB7705">
        <w:rPr>
          <w:rFonts w:ascii="Arial" w:hAnsi="Arial" w:cs="Arial"/>
        </w:rPr>
        <w:t xml:space="preserve">If </w:t>
      </w:r>
      <w:r w:rsidR="00CB7705">
        <w:rPr>
          <w:rFonts w:ascii="Arial" w:hAnsi="Arial" w:cs="Arial"/>
        </w:rPr>
        <w:t>an individual</w:t>
      </w:r>
      <w:r w:rsidRPr="00CB7705">
        <w:rPr>
          <w:rFonts w:ascii="Arial" w:hAnsi="Arial" w:cs="Arial"/>
        </w:rPr>
        <w:t xml:space="preserve"> believe</w:t>
      </w:r>
      <w:r w:rsidR="00CB7705">
        <w:rPr>
          <w:rFonts w:ascii="Arial" w:hAnsi="Arial" w:cs="Arial"/>
        </w:rPr>
        <w:t>s</w:t>
      </w:r>
      <w:r w:rsidRPr="00CB7705">
        <w:rPr>
          <w:rFonts w:ascii="Arial" w:hAnsi="Arial" w:cs="Arial"/>
        </w:rPr>
        <w:t xml:space="preserve"> a Councillor has breached the councillor Code of Conduct, then raise it with the Parish Clerk or Chair of the Council.  Concerns relating to an alleged breach of the councillor Code of Conduct will be referred to the Monitoring Officer for investigation.  </w:t>
      </w:r>
    </w:p>
    <w:p w14:paraId="64C3DAED" w14:textId="77777777" w:rsidR="0002394E" w:rsidRPr="00CB7705" w:rsidRDefault="0002394E" w:rsidP="00CB7705">
      <w:pPr>
        <w:spacing w:after="0" w:line="240" w:lineRule="auto"/>
        <w:jc w:val="both"/>
        <w:rPr>
          <w:rFonts w:ascii="Arial" w:eastAsia="Times New Roman" w:hAnsi="Arial" w:cs="Arial"/>
          <w:lang w:eastAsia="en-GB"/>
        </w:rPr>
      </w:pPr>
    </w:p>
    <w:p w14:paraId="64C3DAEE" w14:textId="77777777" w:rsidR="0002394E" w:rsidRDefault="0002394E" w:rsidP="00CB7705">
      <w:pPr>
        <w:spacing w:after="0" w:line="240" w:lineRule="auto"/>
        <w:jc w:val="both"/>
        <w:rPr>
          <w:rFonts w:ascii="Arial" w:eastAsia="Times New Roman" w:hAnsi="Arial" w:cs="Arial"/>
          <w:lang w:eastAsia="en-GB"/>
        </w:rPr>
      </w:pPr>
      <w:r w:rsidRPr="00CB7705">
        <w:rPr>
          <w:rFonts w:ascii="Arial" w:eastAsia="Times New Roman" w:hAnsi="Arial" w:cs="Arial"/>
          <w:lang w:eastAsia="en-GB"/>
        </w:rPr>
        <w:t>Employees should raise their issues with their immediate Manager</w:t>
      </w:r>
      <w:r w:rsidR="0071414F" w:rsidRPr="00CB7705">
        <w:rPr>
          <w:rFonts w:ascii="Arial" w:eastAsia="Times New Roman" w:hAnsi="Arial" w:cs="Arial"/>
          <w:lang w:eastAsia="en-GB"/>
        </w:rPr>
        <w:t xml:space="preserve"> – generally the Parish Clerk</w:t>
      </w:r>
      <w:r w:rsidRPr="00CB7705">
        <w:rPr>
          <w:rFonts w:ascii="Arial" w:eastAsia="Times New Roman" w:hAnsi="Arial" w:cs="Arial"/>
          <w:lang w:eastAsia="en-GB"/>
        </w:rPr>
        <w:t>.  There are no specific requirements to</w:t>
      </w:r>
      <w:r w:rsidR="0071414F" w:rsidRPr="00CB7705">
        <w:rPr>
          <w:rFonts w:ascii="Arial" w:eastAsia="Times New Roman" w:hAnsi="Arial" w:cs="Arial"/>
          <w:lang w:eastAsia="en-GB"/>
        </w:rPr>
        <w:t xml:space="preserve"> do this – it can be verbally or in writing if individuals</w:t>
      </w:r>
      <w:r w:rsidRPr="00CB7705">
        <w:rPr>
          <w:rFonts w:ascii="Arial" w:eastAsia="Times New Roman" w:hAnsi="Arial" w:cs="Arial"/>
          <w:lang w:eastAsia="en-GB"/>
        </w:rPr>
        <w:t xml:space="preserve"> prefer.</w:t>
      </w:r>
    </w:p>
    <w:p w14:paraId="64C3DAEF" w14:textId="77777777" w:rsidR="00837ECB" w:rsidRPr="00CB7705" w:rsidRDefault="00837ECB" w:rsidP="00CB7705">
      <w:pPr>
        <w:spacing w:after="0" w:line="240" w:lineRule="auto"/>
        <w:jc w:val="both"/>
        <w:rPr>
          <w:rFonts w:ascii="Arial" w:eastAsia="Times New Roman" w:hAnsi="Arial" w:cs="Arial"/>
          <w:lang w:eastAsia="en-GB"/>
        </w:rPr>
      </w:pPr>
    </w:p>
    <w:p w14:paraId="64C3DAF0" w14:textId="77777777" w:rsidR="0071414F" w:rsidRPr="00CB7705" w:rsidRDefault="0071414F" w:rsidP="00CB7705">
      <w:pPr>
        <w:spacing w:after="0" w:line="240" w:lineRule="auto"/>
        <w:jc w:val="both"/>
        <w:rPr>
          <w:rFonts w:ascii="Arial" w:eastAsia="Times New Roman" w:hAnsi="Arial" w:cs="Arial"/>
          <w:lang w:eastAsia="en-GB"/>
        </w:rPr>
      </w:pPr>
    </w:p>
    <w:p w14:paraId="64C3DAF1" w14:textId="77777777" w:rsidR="0002394E" w:rsidRPr="00CB7705" w:rsidRDefault="00837ECB" w:rsidP="00CB7705">
      <w:pPr>
        <w:spacing w:after="0" w:line="240" w:lineRule="auto"/>
        <w:jc w:val="both"/>
        <w:rPr>
          <w:rFonts w:ascii="Arial" w:eastAsia="Times New Roman" w:hAnsi="Arial" w:cs="Arial"/>
          <w:lang w:eastAsia="en-GB"/>
        </w:rPr>
      </w:pPr>
      <w:r>
        <w:rPr>
          <w:rFonts w:ascii="Arial" w:eastAsia="Times New Roman" w:hAnsi="Arial" w:cs="Arial"/>
          <w:lang w:eastAsia="en-GB"/>
        </w:rPr>
        <w:t>If an individual</w:t>
      </w:r>
      <w:r w:rsidR="0002394E" w:rsidRPr="00CB7705">
        <w:rPr>
          <w:rFonts w:ascii="Arial" w:eastAsia="Times New Roman" w:hAnsi="Arial" w:cs="Arial"/>
          <w:lang w:eastAsia="en-GB"/>
        </w:rPr>
        <w:t xml:space="preserve"> feel</w:t>
      </w:r>
      <w:r>
        <w:rPr>
          <w:rFonts w:ascii="Arial" w:eastAsia="Times New Roman" w:hAnsi="Arial" w:cs="Arial"/>
          <w:lang w:eastAsia="en-GB"/>
        </w:rPr>
        <w:t>s</w:t>
      </w:r>
      <w:r w:rsidR="0002394E" w:rsidRPr="00CB7705">
        <w:rPr>
          <w:rFonts w:ascii="Arial" w:eastAsia="Times New Roman" w:hAnsi="Arial" w:cs="Arial"/>
          <w:lang w:eastAsia="en-GB"/>
        </w:rPr>
        <w:t xml:space="preserve"> that the</w:t>
      </w:r>
      <w:r w:rsidR="0071414F" w:rsidRPr="00CB7705">
        <w:rPr>
          <w:rFonts w:ascii="Arial" w:eastAsia="Times New Roman" w:hAnsi="Arial" w:cs="Arial"/>
          <w:lang w:eastAsia="en-GB"/>
        </w:rPr>
        <w:t>y cannot deal with the Parish Clerk</w:t>
      </w:r>
      <w:r w:rsidR="0002394E" w:rsidRPr="00CB7705">
        <w:rPr>
          <w:rFonts w:ascii="Arial" w:eastAsia="Times New Roman" w:hAnsi="Arial" w:cs="Arial"/>
          <w:lang w:eastAsia="en-GB"/>
        </w:rPr>
        <w:t>, for whatever reason, they should address their concerns to the Chair of the Council.</w:t>
      </w:r>
    </w:p>
    <w:p w14:paraId="64C3DAF2" w14:textId="77777777" w:rsidR="0002394E" w:rsidRPr="00CB7705" w:rsidRDefault="0002394E" w:rsidP="00CB7705">
      <w:pPr>
        <w:spacing w:after="0" w:line="240" w:lineRule="auto"/>
        <w:jc w:val="both"/>
        <w:rPr>
          <w:rFonts w:ascii="Arial" w:eastAsia="Times New Roman" w:hAnsi="Arial" w:cs="Arial"/>
          <w:lang w:eastAsia="en-GB"/>
        </w:rPr>
      </w:pPr>
    </w:p>
    <w:p w14:paraId="64C3DAF3" w14:textId="77777777" w:rsidR="0002394E" w:rsidRPr="00837ECB" w:rsidRDefault="0002394E" w:rsidP="00CB7705">
      <w:pPr>
        <w:spacing w:after="0" w:line="240" w:lineRule="auto"/>
        <w:jc w:val="both"/>
        <w:rPr>
          <w:rFonts w:ascii="Arial" w:eastAsia="Times New Roman" w:hAnsi="Arial" w:cs="Arial"/>
          <w:b/>
          <w:sz w:val="28"/>
          <w:szCs w:val="28"/>
          <w:lang w:eastAsia="en-GB"/>
        </w:rPr>
      </w:pPr>
      <w:r w:rsidRPr="00837ECB">
        <w:rPr>
          <w:rFonts w:ascii="Arial" w:eastAsia="Times New Roman" w:hAnsi="Arial" w:cs="Arial"/>
          <w:b/>
          <w:sz w:val="28"/>
          <w:szCs w:val="28"/>
          <w:lang w:eastAsia="en-GB"/>
        </w:rPr>
        <w:t>How the Council will respond</w:t>
      </w:r>
    </w:p>
    <w:p w14:paraId="64C3DAF4" w14:textId="77777777" w:rsidR="0002394E" w:rsidRPr="00CB7705" w:rsidRDefault="0002394E" w:rsidP="00CB7705">
      <w:pPr>
        <w:spacing w:after="0" w:line="240" w:lineRule="auto"/>
        <w:jc w:val="both"/>
        <w:rPr>
          <w:rFonts w:ascii="Arial" w:eastAsia="Times New Roman" w:hAnsi="Arial" w:cs="Arial"/>
          <w:lang w:eastAsia="en-GB"/>
        </w:rPr>
      </w:pPr>
      <w:r w:rsidRPr="00CB7705">
        <w:rPr>
          <w:rFonts w:ascii="Arial" w:eastAsia="Times New Roman" w:hAnsi="Arial" w:cs="Arial"/>
          <w:lang w:eastAsia="en-GB"/>
        </w:rPr>
        <w:t>Once a concern has been raised the Council will decide how to respond in a responsible and appropriate manner under this policy.  Usually this will begin with internal enquiries, but may progress to either a formal or informal investigation, depending upon the nature of the concern.  The Council will endeavour to complete the investigation within a reasonable time scale.</w:t>
      </w:r>
    </w:p>
    <w:p w14:paraId="64C3DAF5" w14:textId="77777777" w:rsidR="0002394E" w:rsidRPr="00CB7705" w:rsidRDefault="0002394E" w:rsidP="00CB7705">
      <w:pPr>
        <w:spacing w:after="0" w:line="240" w:lineRule="auto"/>
        <w:jc w:val="both"/>
        <w:rPr>
          <w:rFonts w:ascii="Arial" w:eastAsia="Times New Roman" w:hAnsi="Arial" w:cs="Arial"/>
          <w:lang w:eastAsia="en-GB"/>
        </w:rPr>
      </w:pPr>
    </w:p>
    <w:p w14:paraId="64C3DAF6" w14:textId="77777777" w:rsidR="0002394E" w:rsidRPr="00CB7705" w:rsidRDefault="0002394E" w:rsidP="00CB7705">
      <w:pPr>
        <w:spacing w:after="0" w:line="240" w:lineRule="auto"/>
        <w:jc w:val="both"/>
        <w:rPr>
          <w:rFonts w:ascii="Arial" w:eastAsia="Times New Roman" w:hAnsi="Arial" w:cs="Arial"/>
          <w:lang w:eastAsia="en-GB"/>
        </w:rPr>
      </w:pPr>
      <w:r w:rsidRPr="00CB7705">
        <w:rPr>
          <w:rFonts w:ascii="Arial" w:eastAsia="Times New Roman" w:hAnsi="Arial" w:cs="Arial"/>
          <w:lang w:eastAsia="en-GB"/>
        </w:rPr>
        <w:t>The investigation may be conducted by the Parish Clerk alone, or a team of three Councillors, selected by the Full Council, depending upon the nature of the concern.</w:t>
      </w:r>
    </w:p>
    <w:p w14:paraId="64C3DAF7" w14:textId="77777777" w:rsidR="0002394E" w:rsidRPr="00CB7705" w:rsidRDefault="0002394E" w:rsidP="00CB7705">
      <w:pPr>
        <w:spacing w:after="0" w:line="240" w:lineRule="auto"/>
        <w:jc w:val="both"/>
        <w:rPr>
          <w:rFonts w:ascii="Arial" w:eastAsia="Times New Roman" w:hAnsi="Arial" w:cs="Arial"/>
          <w:lang w:eastAsia="en-GB"/>
        </w:rPr>
      </w:pPr>
    </w:p>
    <w:p w14:paraId="64C3DAF8" w14:textId="77777777" w:rsidR="0002394E" w:rsidRPr="00CB7705" w:rsidRDefault="0002394E" w:rsidP="00CB7705">
      <w:pPr>
        <w:spacing w:after="0" w:line="240" w:lineRule="auto"/>
        <w:jc w:val="both"/>
        <w:rPr>
          <w:rFonts w:ascii="Arial" w:eastAsia="Times New Roman" w:hAnsi="Arial" w:cs="Arial"/>
          <w:lang w:eastAsia="en-GB"/>
        </w:rPr>
      </w:pPr>
      <w:r w:rsidRPr="00CB7705">
        <w:rPr>
          <w:rFonts w:ascii="Arial" w:eastAsia="Times New Roman" w:hAnsi="Arial" w:cs="Arial"/>
          <w:lang w:eastAsia="en-GB"/>
        </w:rPr>
        <w:t>The Council will keep the Employee informed of the progress of the investigation. However, the Council will not be obliged to reveal information which would infringe the confidentiality of others, the Data Protection Act or any other Statutory obligation.</w:t>
      </w:r>
    </w:p>
    <w:p w14:paraId="64C3DAF9" w14:textId="77777777" w:rsidR="0002394E" w:rsidRPr="00CB7705" w:rsidRDefault="0002394E" w:rsidP="00CB7705">
      <w:pPr>
        <w:spacing w:after="0" w:line="240" w:lineRule="auto"/>
        <w:jc w:val="both"/>
        <w:rPr>
          <w:rFonts w:ascii="Arial" w:eastAsia="Times New Roman" w:hAnsi="Arial" w:cs="Arial"/>
          <w:lang w:eastAsia="en-GB"/>
        </w:rPr>
      </w:pPr>
    </w:p>
    <w:p w14:paraId="64C3DAFA" w14:textId="77777777" w:rsidR="0002394E" w:rsidRPr="00837ECB" w:rsidRDefault="00A712D5" w:rsidP="00CB7705">
      <w:pPr>
        <w:spacing w:after="0" w:line="240" w:lineRule="auto"/>
        <w:jc w:val="both"/>
        <w:rPr>
          <w:rFonts w:ascii="Arial" w:eastAsia="Times New Roman" w:hAnsi="Arial" w:cs="Arial"/>
          <w:b/>
          <w:sz w:val="28"/>
          <w:szCs w:val="28"/>
          <w:lang w:eastAsia="en-GB"/>
        </w:rPr>
      </w:pPr>
      <w:r w:rsidRPr="00837ECB">
        <w:rPr>
          <w:rFonts w:ascii="Arial" w:eastAsia="Times New Roman" w:hAnsi="Arial" w:cs="Arial"/>
          <w:b/>
          <w:sz w:val="28"/>
          <w:szCs w:val="28"/>
          <w:lang w:eastAsia="en-GB"/>
        </w:rPr>
        <w:t>Raising</w:t>
      </w:r>
      <w:r w:rsidR="0002394E" w:rsidRPr="00837ECB">
        <w:rPr>
          <w:rFonts w:ascii="Arial" w:eastAsia="Times New Roman" w:hAnsi="Arial" w:cs="Arial"/>
          <w:b/>
          <w:sz w:val="28"/>
          <w:szCs w:val="28"/>
          <w:lang w:eastAsia="en-GB"/>
        </w:rPr>
        <w:t xml:space="preserve"> concerns externally</w:t>
      </w:r>
    </w:p>
    <w:p w14:paraId="64C3DAFB" w14:textId="77777777" w:rsidR="0002394E" w:rsidRPr="00CB7705" w:rsidRDefault="0002394E" w:rsidP="00CB7705">
      <w:pPr>
        <w:spacing w:after="0" w:line="240" w:lineRule="auto"/>
        <w:jc w:val="both"/>
        <w:rPr>
          <w:rFonts w:ascii="Arial" w:eastAsia="Times New Roman" w:hAnsi="Arial" w:cs="Arial"/>
          <w:lang w:eastAsia="en-GB"/>
        </w:rPr>
      </w:pPr>
      <w:r w:rsidRPr="00CB7705">
        <w:rPr>
          <w:rFonts w:ascii="Arial" w:eastAsia="Times New Roman" w:hAnsi="Arial" w:cs="Arial"/>
          <w:lang w:eastAsia="en-GB"/>
        </w:rPr>
        <w:t>The purpose of this policy and procedure is to give Employees the opportunity and protection they need to raise concerns internally.  The Council would expect that in almost all cases, raising concerns internally would be the most appropriate action to take.</w:t>
      </w:r>
    </w:p>
    <w:p w14:paraId="64C3DAFC" w14:textId="77777777" w:rsidR="0002394E" w:rsidRPr="00CB7705" w:rsidRDefault="0002394E" w:rsidP="00CB7705">
      <w:pPr>
        <w:spacing w:after="0" w:line="240" w:lineRule="auto"/>
        <w:jc w:val="both"/>
        <w:rPr>
          <w:rFonts w:ascii="Arial" w:eastAsia="Times New Roman" w:hAnsi="Arial" w:cs="Arial"/>
          <w:lang w:eastAsia="en-GB"/>
        </w:rPr>
      </w:pPr>
    </w:p>
    <w:p w14:paraId="64C3DAFD" w14:textId="77777777" w:rsidR="0002394E" w:rsidRPr="00CB7705" w:rsidRDefault="0002394E" w:rsidP="00CB7705">
      <w:pPr>
        <w:jc w:val="both"/>
        <w:rPr>
          <w:rFonts w:ascii="Arial" w:hAnsi="Arial" w:cs="Arial"/>
        </w:rPr>
      </w:pPr>
      <w:r w:rsidRPr="00CB7705">
        <w:rPr>
          <w:rFonts w:ascii="Arial" w:eastAsia="Times New Roman" w:hAnsi="Arial" w:cs="Arial"/>
          <w:lang w:eastAsia="en-GB"/>
        </w:rPr>
        <w:t>However, if for whatever reason Employees feel that they cannot raise their concerns internally and reasonably believe that the information and allegations are substantially true, they can consider raising the matter with the appropriate regulat</w:t>
      </w:r>
      <w:r w:rsidR="00CB7705" w:rsidRPr="00CB7705">
        <w:rPr>
          <w:rFonts w:ascii="Arial" w:eastAsia="Times New Roman" w:hAnsi="Arial" w:cs="Arial"/>
          <w:lang w:eastAsia="en-GB"/>
        </w:rPr>
        <w:t>or or body.</w:t>
      </w:r>
    </w:p>
    <w:p w14:paraId="64C3DAFE" w14:textId="77777777" w:rsidR="0002394E" w:rsidRPr="00CB7705" w:rsidRDefault="0002394E" w:rsidP="00CB7705">
      <w:pPr>
        <w:spacing w:after="0" w:line="240" w:lineRule="auto"/>
        <w:jc w:val="both"/>
        <w:rPr>
          <w:rFonts w:ascii="Arial" w:eastAsia="Times New Roman" w:hAnsi="Arial" w:cs="Arial"/>
          <w:color w:val="0000FF"/>
          <w:u w:val="single"/>
          <w:lang w:eastAsia="en-GB"/>
        </w:rPr>
      </w:pPr>
      <w:r w:rsidRPr="00CB7705">
        <w:rPr>
          <w:rFonts w:ascii="Arial" w:eastAsia="Times New Roman" w:hAnsi="Arial" w:cs="Arial"/>
          <w:lang w:eastAsia="en-GB"/>
        </w:rPr>
        <w:t xml:space="preserve">Public Concern at Work is an independent charity whose main objective is to promote compliance with the law and good practice in the public, private and voluntary sectors.  They can be contacted at </w:t>
      </w:r>
      <w:hyperlink r:id="rId12" w:history="1">
        <w:r w:rsidRPr="00CB7705">
          <w:rPr>
            <w:rFonts w:ascii="Arial" w:eastAsia="Times New Roman" w:hAnsi="Arial" w:cs="Arial"/>
            <w:color w:val="0000FF"/>
            <w:u w:val="single"/>
            <w:lang w:eastAsia="en-GB"/>
          </w:rPr>
          <w:t>www.pcaw.co.uk</w:t>
        </w:r>
      </w:hyperlink>
    </w:p>
    <w:p w14:paraId="64C3DAFF" w14:textId="77777777" w:rsidR="0002394E" w:rsidRDefault="0002394E" w:rsidP="00CB7705">
      <w:pPr>
        <w:spacing w:after="0" w:line="240" w:lineRule="auto"/>
        <w:jc w:val="both"/>
        <w:rPr>
          <w:rFonts w:ascii="Arial" w:hAnsi="Arial" w:cs="Arial"/>
        </w:rPr>
      </w:pPr>
    </w:p>
    <w:p w14:paraId="64C3DB00" w14:textId="77777777" w:rsidR="00837ECB" w:rsidRDefault="00837ECB" w:rsidP="00CB7705">
      <w:pPr>
        <w:spacing w:after="0" w:line="240" w:lineRule="auto"/>
        <w:jc w:val="both"/>
        <w:rPr>
          <w:rFonts w:ascii="Arial" w:hAnsi="Arial" w:cs="Arial"/>
        </w:rPr>
      </w:pPr>
    </w:p>
    <w:p w14:paraId="64C3DB01" w14:textId="77777777" w:rsidR="00837ECB" w:rsidRDefault="00837ECB" w:rsidP="00CB7705">
      <w:pPr>
        <w:spacing w:after="0" w:line="240" w:lineRule="auto"/>
        <w:jc w:val="both"/>
        <w:rPr>
          <w:rFonts w:ascii="Arial" w:hAnsi="Arial" w:cs="Arial"/>
        </w:rPr>
      </w:pPr>
    </w:p>
    <w:p w14:paraId="64C3DB02" w14:textId="77777777" w:rsidR="00837ECB" w:rsidRDefault="00837ECB" w:rsidP="00CB7705">
      <w:pPr>
        <w:spacing w:after="0" w:line="240" w:lineRule="auto"/>
        <w:jc w:val="both"/>
        <w:rPr>
          <w:rFonts w:ascii="Arial" w:hAnsi="Arial" w:cs="Arial"/>
        </w:rPr>
      </w:pPr>
    </w:p>
    <w:p w14:paraId="64C3DB03" w14:textId="77777777" w:rsidR="00837ECB" w:rsidRPr="00CB7705" w:rsidRDefault="00837ECB" w:rsidP="00CB7705">
      <w:pPr>
        <w:spacing w:after="0" w:line="240" w:lineRule="auto"/>
        <w:jc w:val="both"/>
        <w:rPr>
          <w:rFonts w:ascii="Arial" w:hAnsi="Arial" w:cs="Arial"/>
        </w:rPr>
      </w:pPr>
    </w:p>
    <w:p w14:paraId="64C3DB04" w14:textId="77777777" w:rsidR="000678F2" w:rsidRDefault="00B448C2" w:rsidP="00CB7705">
      <w:pPr>
        <w:pStyle w:val="NoSpacing"/>
        <w:jc w:val="both"/>
        <w:rPr>
          <w:rFonts w:ascii="Arial" w:hAnsi="Arial" w:cs="Arial"/>
          <w:b/>
        </w:rPr>
      </w:pPr>
      <w:r>
        <w:rPr>
          <w:rFonts w:ascii="Arial" w:hAnsi="Arial" w:cs="Arial"/>
          <w:b/>
        </w:rPr>
        <w:t>R</w:t>
      </w:r>
      <w:r w:rsidR="005F6EA4">
        <w:rPr>
          <w:rFonts w:ascii="Arial" w:hAnsi="Arial" w:cs="Arial"/>
          <w:b/>
        </w:rPr>
        <w:t>eviewed</w:t>
      </w:r>
      <w:r>
        <w:rPr>
          <w:rFonts w:ascii="Arial" w:hAnsi="Arial" w:cs="Arial"/>
          <w:b/>
        </w:rPr>
        <w:t xml:space="preserve"> and Approved</w:t>
      </w:r>
      <w:r w:rsidR="000678F2" w:rsidRPr="00CB7705">
        <w:rPr>
          <w:rFonts w:ascii="Arial" w:hAnsi="Arial" w:cs="Arial"/>
          <w:b/>
        </w:rPr>
        <w:t xml:space="preserve"> by Nettleham Parish Council </w:t>
      </w:r>
      <w:r w:rsidR="00AE23FB">
        <w:rPr>
          <w:rFonts w:ascii="Arial" w:hAnsi="Arial" w:cs="Arial"/>
          <w:b/>
        </w:rPr>
        <w:t>at the meeting 27 May 2021</w:t>
      </w:r>
    </w:p>
    <w:p w14:paraId="64C3DB05" w14:textId="77777777" w:rsidR="008F00B7" w:rsidRDefault="008F00B7" w:rsidP="00CB7705">
      <w:pPr>
        <w:pStyle w:val="NoSpacing"/>
        <w:jc w:val="both"/>
        <w:rPr>
          <w:rFonts w:ascii="Arial" w:hAnsi="Arial" w:cs="Arial"/>
          <w:b/>
        </w:rPr>
      </w:pPr>
    </w:p>
    <w:p w14:paraId="64C3DB06" w14:textId="77777777" w:rsidR="008F00B7" w:rsidRDefault="008F00B7" w:rsidP="00CB7705">
      <w:pPr>
        <w:pStyle w:val="NoSpacing"/>
        <w:jc w:val="both"/>
        <w:rPr>
          <w:rFonts w:ascii="Arial" w:hAnsi="Arial" w:cs="Arial"/>
          <w:b/>
        </w:rPr>
      </w:pPr>
      <w:r w:rsidRPr="005D2630">
        <w:rPr>
          <w:rFonts w:ascii="Arial" w:hAnsi="Arial" w:cs="Arial"/>
          <w:b/>
        </w:rPr>
        <w:t xml:space="preserve">Reviewed and adopted at the Annual Meeting of </w:t>
      </w:r>
      <w:r w:rsidR="00673D8B">
        <w:rPr>
          <w:rFonts w:ascii="Arial" w:hAnsi="Arial" w:cs="Arial"/>
          <w:b/>
        </w:rPr>
        <w:t xml:space="preserve">the Parish Council </w:t>
      </w:r>
      <w:r w:rsidR="00673D8B" w:rsidRPr="00AE23FB">
        <w:rPr>
          <w:rFonts w:ascii="Arial" w:hAnsi="Arial" w:cs="Arial"/>
          <w:b/>
        </w:rPr>
        <w:t>held 31.05.22</w:t>
      </w:r>
    </w:p>
    <w:p w14:paraId="64C3DB07" w14:textId="77777777" w:rsidR="00D17869" w:rsidRDefault="00D17869" w:rsidP="00D17869">
      <w:pPr>
        <w:pStyle w:val="NoSpacing"/>
        <w:jc w:val="both"/>
        <w:rPr>
          <w:rFonts w:ascii="Arial" w:hAnsi="Arial" w:cs="Arial"/>
          <w:b/>
        </w:rPr>
      </w:pPr>
      <w:r w:rsidRPr="005D2630">
        <w:rPr>
          <w:rFonts w:ascii="Arial" w:hAnsi="Arial" w:cs="Arial"/>
          <w:b/>
        </w:rPr>
        <w:t xml:space="preserve">Reviewed and adopted at the Annual Meeting of </w:t>
      </w:r>
      <w:r>
        <w:rPr>
          <w:rFonts w:ascii="Arial" w:hAnsi="Arial" w:cs="Arial"/>
          <w:b/>
        </w:rPr>
        <w:t>the Parish Council held 16.05.24</w:t>
      </w:r>
    </w:p>
    <w:p w14:paraId="64C3DB09" w14:textId="7F670029" w:rsidR="00D17869" w:rsidRPr="00253EB7" w:rsidRDefault="00253EB7" w:rsidP="00CB7705">
      <w:pPr>
        <w:pStyle w:val="NoSpacing"/>
        <w:jc w:val="both"/>
        <w:rPr>
          <w:rFonts w:ascii="Arial" w:hAnsi="Arial" w:cs="Arial"/>
          <w:b/>
          <w:sz w:val="28"/>
          <w:szCs w:val="28"/>
        </w:rPr>
      </w:pPr>
      <w:r w:rsidRPr="00253EB7">
        <w:rPr>
          <w:b/>
          <w:bCs/>
          <w:sz w:val="28"/>
          <w:szCs w:val="28"/>
        </w:rPr>
        <w:t>Reviewed and re adopted May 202</w:t>
      </w:r>
      <w:r w:rsidR="007801CF">
        <w:rPr>
          <w:b/>
          <w:bCs/>
          <w:sz w:val="28"/>
          <w:szCs w:val="28"/>
        </w:rPr>
        <w:t>5</w:t>
      </w:r>
      <w:r w:rsidRPr="00253EB7">
        <w:rPr>
          <w:b/>
          <w:bCs/>
          <w:sz w:val="28"/>
          <w:szCs w:val="28"/>
        </w:rPr>
        <w:t xml:space="preserve"> - Next review due May 202</w:t>
      </w:r>
      <w:r w:rsidR="007801CF">
        <w:rPr>
          <w:b/>
          <w:bCs/>
          <w:sz w:val="28"/>
          <w:szCs w:val="28"/>
        </w:rPr>
        <w:t>6</w:t>
      </w:r>
    </w:p>
    <w:sectPr w:rsidR="00D17869" w:rsidRPr="00253EB7" w:rsidSect="0071414F">
      <w:headerReference w:type="default" r:id="rId13"/>
      <w:type w:val="continuous"/>
      <w:pgSz w:w="11906" w:h="16838"/>
      <w:pgMar w:top="426" w:right="849" w:bottom="426"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3DB0F" w14:textId="77777777" w:rsidR="00C169DF" w:rsidRDefault="00C169DF" w:rsidP="00225AAB">
      <w:r>
        <w:separator/>
      </w:r>
    </w:p>
  </w:endnote>
  <w:endnote w:type="continuationSeparator" w:id="0">
    <w:p w14:paraId="64C3DB10" w14:textId="77777777" w:rsidR="00C169DF" w:rsidRDefault="00C169DF"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tham Book">
    <w:altName w:val="Calibri"/>
    <w:panose1 w:val="00000000000000000000"/>
    <w:charset w:val="80"/>
    <w:family w:val="auto"/>
    <w:notTrueType/>
    <w:pitch w:val="variable"/>
    <w:sig w:usb0="A00002FF" w:usb1="4807005B" w:usb2="00000010"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3DB0D" w14:textId="77777777" w:rsidR="00C169DF" w:rsidRDefault="00C169DF" w:rsidP="00225AAB">
      <w:r>
        <w:separator/>
      </w:r>
    </w:p>
  </w:footnote>
  <w:footnote w:type="continuationSeparator" w:id="0">
    <w:p w14:paraId="64C3DB0E" w14:textId="77777777" w:rsidR="00C169DF" w:rsidRDefault="00C169DF" w:rsidP="00225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3DB11" w14:textId="77777777"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06541B"/>
    <w:multiLevelType w:val="hybridMultilevel"/>
    <w:tmpl w:val="B7E09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CD1697"/>
    <w:multiLevelType w:val="hybridMultilevel"/>
    <w:tmpl w:val="BB482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832EBD"/>
    <w:multiLevelType w:val="hybridMultilevel"/>
    <w:tmpl w:val="A0B61214"/>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40269"/>
    <w:multiLevelType w:val="hybridMultilevel"/>
    <w:tmpl w:val="B6882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375287"/>
    <w:multiLevelType w:val="hybridMultilevel"/>
    <w:tmpl w:val="DA20BD62"/>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B5547C"/>
    <w:multiLevelType w:val="hybridMultilevel"/>
    <w:tmpl w:val="C88E7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383C36"/>
    <w:multiLevelType w:val="hybridMultilevel"/>
    <w:tmpl w:val="31A62B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56B0CCC"/>
    <w:multiLevelType w:val="hybridMultilevel"/>
    <w:tmpl w:val="1E9251FA"/>
    <w:lvl w:ilvl="0" w:tplc="7AE07920">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8936DF"/>
    <w:multiLevelType w:val="hybridMultilevel"/>
    <w:tmpl w:val="77C67D96"/>
    <w:lvl w:ilvl="0" w:tplc="6EC018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8A20E3"/>
    <w:multiLevelType w:val="hybridMultilevel"/>
    <w:tmpl w:val="D130B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1D713B"/>
    <w:multiLevelType w:val="hybridMultilevel"/>
    <w:tmpl w:val="1C36C3A4"/>
    <w:lvl w:ilvl="0" w:tplc="B1A8E5CA">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BA575A"/>
    <w:multiLevelType w:val="hybridMultilevel"/>
    <w:tmpl w:val="95D20A92"/>
    <w:lvl w:ilvl="0" w:tplc="5CDA93E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1344DF"/>
    <w:multiLevelType w:val="hybridMultilevel"/>
    <w:tmpl w:val="B4CA1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550F7F"/>
    <w:multiLevelType w:val="hybridMultilevel"/>
    <w:tmpl w:val="A57AC4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7DE33854"/>
    <w:multiLevelType w:val="hybridMultilevel"/>
    <w:tmpl w:val="70BC6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5479460">
    <w:abstractNumId w:val="4"/>
  </w:num>
  <w:num w:numId="2" w16cid:durableId="938413116">
    <w:abstractNumId w:val="5"/>
  </w:num>
  <w:num w:numId="3" w16cid:durableId="318926641">
    <w:abstractNumId w:val="27"/>
  </w:num>
  <w:num w:numId="4" w16cid:durableId="343020529">
    <w:abstractNumId w:val="29"/>
  </w:num>
  <w:num w:numId="5" w16cid:durableId="2013875160">
    <w:abstractNumId w:val="0"/>
  </w:num>
  <w:num w:numId="6" w16cid:durableId="1681540019">
    <w:abstractNumId w:val="28"/>
  </w:num>
  <w:num w:numId="7" w16cid:durableId="847404612">
    <w:abstractNumId w:val="33"/>
  </w:num>
  <w:num w:numId="8" w16cid:durableId="1543446581">
    <w:abstractNumId w:val="25"/>
  </w:num>
  <w:num w:numId="9" w16cid:durableId="434132523">
    <w:abstractNumId w:val="16"/>
  </w:num>
  <w:num w:numId="10" w16cid:durableId="1897231361">
    <w:abstractNumId w:val="20"/>
  </w:num>
  <w:num w:numId="11" w16cid:durableId="1044140712">
    <w:abstractNumId w:val="15"/>
  </w:num>
  <w:num w:numId="12" w16cid:durableId="308748055">
    <w:abstractNumId w:val="6"/>
  </w:num>
  <w:num w:numId="13" w16cid:durableId="2043817632">
    <w:abstractNumId w:val="30"/>
  </w:num>
  <w:num w:numId="14" w16cid:durableId="1654331927">
    <w:abstractNumId w:val="11"/>
  </w:num>
  <w:num w:numId="15" w16cid:durableId="717438375">
    <w:abstractNumId w:val="10"/>
  </w:num>
  <w:num w:numId="16" w16cid:durableId="1390959302">
    <w:abstractNumId w:val="19"/>
  </w:num>
  <w:num w:numId="17" w16cid:durableId="2128163029">
    <w:abstractNumId w:val="26"/>
  </w:num>
  <w:num w:numId="18" w16cid:durableId="431363940">
    <w:abstractNumId w:val="17"/>
  </w:num>
  <w:num w:numId="19" w16cid:durableId="2134782202">
    <w:abstractNumId w:val="12"/>
  </w:num>
  <w:num w:numId="20" w16cid:durableId="1249851707">
    <w:abstractNumId w:val="23"/>
  </w:num>
  <w:num w:numId="21" w16cid:durableId="1077434782">
    <w:abstractNumId w:val="9"/>
  </w:num>
  <w:num w:numId="22" w16cid:durableId="331683829">
    <w:abstractNumId w:val="2"/>
  </w:num>
  <w:num w:numId="23" w16cid:durableId="1295788846">
    <w:abstractNumId w:val="32"/>
  </w:num>
  <w:num w:numId="24" w16cid:durableId="280572760">
    <w:abstractNumId w:val="22"/>
  </w:num>
  <w:num w:numId="25" w16cid:durableId="1798254787">
    <w:abstractNumId w:val="34"/>
  </w:num>
  <w:num w:numId="26" w16cid:durableId="2023042648">
    <w:abstractNumId w:val="14"/>
  </w:num>
  <w:num w:numId="27" w16cid:durableId="1513110661">
    <w:abstractNumId w:val="18"/>
  </w:num>
  <w:num w:numId="28" w16cid:durableId="207375345">
    <w:abstractNumId w:val="24"/>
  </w:num>
  <w:num w:numId="29" w16cid:durableId="677388617">
    <w:abstractNumId w:val="8"/>
  </w:num>
  <w:num w:numId="30" w16cid:durableId="980767413">
    <w:abstractNumId w:val="3"/>
  </w:num>
  <w:num w:numId="31" w16cid:durableId="1633562288">
    <w:abstractNumId w:val="7"/>
  </w:num>
  <w:num w:numId="32" w16cid:durableId="912398366">
    <w:abstractNumId w:val="21"/>
  </w:num>
  <w:num w:numId="33" w16cid:durableId="2017800053">
    <w:abstractNumId w:val="31"/>
  </w:num>
  <w:num w:numId="34" w16cid:durableId="653222088">
    <w:abstractNumId w:val="1"/>
  </w:num>
  <w:num w:numId="35" w16cid:durableId="17189669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01A52"/>
    <w:rsid w:val="00002286"/>
    <w:rsid w:val="0001098A"/>
    <w:rsid w:val="0002394E"/>
    <w:rsid w:val="00066E1F"/>
    <w:rsid w:val="000678F2"/>
    <w:rsid w:val="00077DE1"/>
    <w:rsid w:val="00085C80"/>
    <w:rsid w:val="000D2FE6"/>
    <w:rsid w:val="001175FB"/>
    <w:rsid w:val="00131194"/>
    <w:rsid w:val="00145474"/>
    <w:rsid w:val="0016302E"/>
    <w:rsid w:val="00174C20"/>
    <w:rsid w:val="001A43B9"/>
    <w:rsid w:val="00202E2D"/>
    <w:rsid w:val="00203669"/>
    <w:rsid w:val="00222AF3"/>
    <w:rsid w:val="00225AAB"/>
    <w:rsid w:val="0025243E"/>
    <w:rsid w:val="00253EB7"/>
    <w:rsid w:val="00265BFD"/>
    <w:rsid w:val="002852E7"/>
    <w:rsid w:val="00297EFD"/>
    <w:rsid w:val="002A6C21"/>
    <w:rsid w:val="002E0B0D"/>
    <w:rsid w:val="002E158D"/>
    <w:rsid w:val="00323DFD"/>
    <w:rsid w:val="003400E7"/>
    <w:rsid w:val="003619D2"/>
    <w:rsid w:val="00386331"/>
    <w:rsid w:val="00390A24"/>
    <w:rsid w:val="003C743C"/>
    <w:rsid w:val="003D4DC9"/>
    <w:rsid w:val="00433BCE"/>
    <w:rsid w:val="00493FD5"/>
    <w:rsid w:val="004C62AD"/>
    <w:rsid w:val="004E2382"/>
    <w:rsid w:val="004F1CEC"/>
    <w:rsid w:val="00512179"/>
    <w:rsid w:val="0053061B"/>
    <w:rsid w:val="005307F8"/>
    <w:rsid w:val="005546A7"/>
    <w:rsid w:val="005947FA"/>
    <w:rsid w:val="005D2630"/>
    <w:rsid w:val="005E45FA"/>
    <w:rsid w:val="005F510D"/>
    <w:rsid w:val="005F5FB8"/>
    <w:rsid w:val="005F6EA4"/>
    <w:rsid w:val="00646BF7"/>
    <w:rsid w:val="00673D8B"/>
    <w:rsid w:val="006A34AA"/>
    <w:rsid w:val="006B758B"/>
    <w:rsid w:val="006F0348"/>
    <w:rsid w:val="0071414F"/>
    <w:rsid w:val="00737460"/>
    <w:rsid w:val="0074642B"/>
    <w:rsid w:val="007713E0"/>
    <w:rsid w:val="007801CF"/>
    <w:rsid w:val="0078119F"/>
    <w:rsid w:val="007A6D3A"/>
    <w:rsid w:val="007E6C3C"/>
    <w:rsid w:val="00815732"/>
    <w:rsid w:val="00837ECB"/>
    <w:rsid w:val="0084461D"/>
    <w:rsid w:val="0086672F"/>
    <w:rsid w:val="008928F0"/>
    <w:rsid w:val="00896340"/>
    <w:rsid w:val="008F00B7"/>
    <w:rsid w:val="008F0241"/>
    <w:rsid w:val="00901A21"/>
    <w:rsid w:val="00915781"/>
    <w:rsid w:val="00974B64"/>
    <w:rsid w:val="00981330"/>
    <w:rsid w:val="00982D83"/>
    <w:rsid w:val="00993C38"/>
    <w:rsid w:val="009A2F36"/>
    <w:rsid w:val="009C2579"/>
    <w:rsid w:val="009D5BAB"/>
    <w:rsid w:val="009E3344"/>
    <w:rsid w:val="009E68C5"/>
    <w:rsid w:val="009F4F96"/>
    <w:rsid w:val="00A00292"/>
    <w:rsid w:val="00A42842"/>
    <w:rsid w:val="00A44EB1"/>
    <w:rsid w:val="00A6138F"/>
    <w:rsid w:val="00A62BAC"/>
    <w:rsid w:val="00A712D5"/>
    <w:rsid w:val="00A93678"/>
    <w:rsid w:val="00AC43E4"/>
    <w:rsid w:val="00AE23FB"/>
    <w:rsid w:val="00B23059"/>
    <w:rsid w:val="00B25AAB"/>
    <w:rsid w:val="00B448C2"/>
    <w:rsid w:val="00B92055"/>
    <w:rsid w:val="00B9603B"/>
    <w:rsid w:val="00C169DF"/>
    <w:rsid w:val="00C267C6"/>
    <w:rsid w:val="00C45551"/>
    <w:rsid w:val="00C5275A"/>
    <w:rsid w:val="00C73BD7"/>
    <w:rsid w:val="00C75761"/>
    <w:rsid w:val="00CB7705"/>
    <w:rsid w:val="00CD367E"/>
    <w:rsid w:val="00CF1B04"/>
    <w:rsid w:val="00D056A8"/>
    <w:rsid w:val="00D11E05"/>
    <w:rsid w:val="00D17869"/>
    <w:rsid w:val="00D37156"/>
    <w:rsid w:val="00D92E71"/>
    <w:rsid w:val="00DD2202"/>
    <w:rsid w:val="00DD4EDF"/>
    <w:rsid w:val="00DD71A4"/>
    <w:rsid w:val="00DE6026"/>
    <w:rsid w:val="00E14E7C"/>
    <w:rsid w:val="00E15CD8"/>
    <w:rsid w:val="00EC6945"/>
    <w:rsid w:val="00ED1AD8"/>
    <w:rsid w:val="00ED7CBE"/>
    <w:rsid w:val="00EE217A"/>
    <w:rsid w:val="00EE777D"/>
    <w:rsid w:val="00F126D4"/>
    <w:rsid w:val="00F157AF"/>
    <w:rsid w:val="00F54A18"/>
    <w:rsid w:val="00F555DD"/>
    <w:rsid w:val="00FA56C9"/>
    <w:rsid w:val="00FB6487"/>
    <w:rsid w:val="00FB6B87"/>
    <w:rsid w:val="00FC190D"/>
    <w:rsid w:val="00FC7146"/>
    <w:rsid w:val="00FD6235"/>
    <w:rsid w:val="00FD7DD0"/>
    <w:rsid w:val="00FE4FDA"/>
    <w:rsid w:val="00FE7B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64C3DACF"/>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paragraph" w:styleId="NoSpacing">
    <w:name w:val="No Spacing"/>
    <w:uiPriority w:val="1"/>
    <w:qFormat/>
    <w:rsid w:val="000678F2"/>
    <w:pPr>
      <w:spacing w:after="0" w:line="240" w:lineRule="auto"/>
    </w:pPr>
  </w:style>
  <w:style w:type="character" w:styleId="Hyperlink">
    <w:name w:val="Hyperlink"/>
    <w:basedOn w:val="DefaultParagraphFont"/>
    <w:uiPriority w:val="99"/>
    <w:unhideWhenUsed/>
    <w:rsid w:val="00C455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caw.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9A00B319AAC834FB7D1E90C461AEB5A" ma:contentTypeVersion="15" ma:contentTypeDescription="Create a new document." ma:contentTypeScope="" ma:versionID="51d4508e5d92b89dd4b87ea414246177">
  <xsd:schema xmlns:xsd="http://www.w3.org/2001/XMLSchema" xmlns:xs="http://www.w3.org/2001/XMLSchema" xmlns:p="http://schemas.microsoft.com/office/2006/metadata/properties" xmlns:ns2="a34d017b-ad1d-4643-ab96-a143b0c8ff71" xmlns:ns3="f7fee1bf-3612-4bb6-9bc2-9d67c4123e0a" targetNamespace="http://schemas.microsoft.com/office/2006/metadata/properties" ma:root="true" ma:fieldsID="467b117c7a053df03d92c5396ba7353d" ns2:_="" ns3:_="">
    <xsd:import namespace="a34d017b-ad1d-4643-ab96-a143b0c8ff71"/>
    <xsd:import namespace="f7fee1bf-3612-4bb6-9bc2-9d67c4123e0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d017b-ad1d-4643-ab96-a143b0c8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3cb4caa-8f6e-464f-a368-4cca593f347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fee1bf-3612-4bb6-9bc2-9d67c4123e0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d8b61ab-130c-45fc-9b4a-326fdf2e6f34}" ma:internalName="TaxCatchAll" ma:showField="CatchAllData" ma:web="f7fee1bf-3612-4bb6-9bc2-9d67c4123e0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34d017b-ad1d-4643-ab96-a143b0c8ff71">
      <Terms xmlns="http://schemas.microsoft.com/office/infopath/2007/PartnerControls"/>
    </lcf76f155ced4ddcb4097134ff3c332f>
    <TaxCatchAll xmlns="f7fee1bf-3612-4bb6-9bc2-9d67c4123e0a" xsi:nil="true"/>
  </documentManagement>
</p:properties>
</file>

<file path=customXml/itemProps1.xml><?xml version="1.0" encoding="utf-8"?>
<ds:datastoreItem xmlns:ds="http://schemas.openxmlformats.org/officeDocument/2006/customXml" ds:itemID="{FBBAD732-EEBE-456C-A328-C1BFBD1E62A7}">
  <ds:schemaRefs>
    <ds:schemaRef ds:uri="http://schemas.openxmlformats.org/officeDocument/2006/bibliography"/>
  </ds:schemaRefs>
</ds:datastoreItem>
</file>

<file path=customXml/itemProps2.xml><?xml version="1.0" encoding="utf-8"?>
<ds:datastoreItem xmlns:ds="http://schemas.openxmlformats.org/officeDocument/2006/customXml" ds:itemID="{7467876C-97AF-48AC-B1F3-293022B91C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d017b-ad1d-4643-ab96-a143b0c8ff71"/>
    <ds:schemaRef ds:uri="f7fee1bf-3612-4bb6-9bc2-9d67c4123e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788689-684E-4E86-B5F1-1ECF465D920D}">
  <ds:schemaRefs>
    <ds:schemaRef ds:uri="http://schemas.microsoft.com/sharepoint/v3/contenttype/forms"/>
  </ds:schemaRefs>
</ds:datastoreItem>
</file>

<file path=customXml/itemProps4.xml><?xml version="1.0" encoding="utf-8"?>
<ds:datastoreItem xmlns:ds="http://schemas.openxmlformats.org/officeDocument/2006/customXml" ds:itemID="{7F0F77FD-3812-48FB-A867-BF28D86DC4AE}">
  <ds:schemaRefs>
    <ds:schemaRef ds:uri="http://schemas.microsoft.com/office/2006/metadata/properties"/>
    <ds:schemaRef ds:uri="http://schemas.microsoft.com/office/infopath/2007/PartnerControls"/>
    <ds:schemaRef ds:uri="a34d017b-ad1d-4643-ab96-a143b0c8ff71"/>
    <ds:schemaRef ds:uri="f7fee1bf-3612-4bb6-9bc2-9d67c4123e0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821</Words>
  <Characters>4684</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Accounts</cp:lastModifiedBy>
  <cp:revision>2</cp:revision>
  <cp:lastPrinted>2020-08-27T10:51:00Z</cp:lastPrinted>
  <dcterms:created xsi:type="dcterms:W3CDTF">2025-05-28T14:44:00Z</dcterms:created>
  <dcterms:modified xsi:type="dcterms:W3CDTF">2025-05-28T14:44:00Z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0x01010089A00B319AAC834FB7D1E90C461AEB5A</vt:lpwstr>
  </property>
  <property fmtid="{D5CDD505-2E9C-101B-9397-08002B2CF9AE}" pid="3" name="MediaServiceImageTags">
    <vt:lpwstr/>
  </property>
</Properties>
</file>